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87" w:rsidRDefault="00327787">
      <w:pPr>
        <w:pStyle w:val="newncpi0"/>
        <w:jc w:val="center"/>
      </w:pPr>
      <w:bookmarkStart w:id="0" w:name="_GoBack"/>
      <w:bookmarkEnd w:id="0"/>
      <w:r>
        <w:rPr>
          <w:rStyle w:val="name"/>
        </w:rPr>
        <w:t>ПОСТАНОВЛЕНИЕ </w:t>
      </w:r>
      <w:r>
        <w:rPr>
          <w:rStyle w:val="promulgator"/>
        </w:rPr>
        <w:t>НАЦИОНАЛЬНОЙ АКАДЕМИИ НАУК БЕЛАРУСИ, ГОСУДАРСТВЕННОГО КОМИТЕТА ПО НАУКЕ И ТЕХНОЛОГИЯМ РЕСПУБЛИКИ БЕЛАРУСЬ И ВЫСШЕЙ АТТЕСТАЦИОННОЙ КОМИССИИ РЕСПУБЛИКИ БЕЛАРУСЬ</w:t>
      </w:r>
    </w:p>
    <w:p w:rsidR="00327787" w:rsidRDefault="00327787">
      <w:pPr>
        <w:pStyle w:val="newncpi"/>
        <w:ind w:firstLine="0"/>
        <w:jc w:val="center"/>
      </w:pPr>
      <w:r>
        <w:rPr>
          <w:rStyle w:val="datepr"/>
        </w:rPr>
        <w:t>8 сентября 2010 г.</w:t>
      </w:r>
      <w:r>
        <w:rPr>
          <w:rStyle w:val="number"/>
        </w:rPr>
        <w:t xml:space="preserve"> № 7/20/2</w:t>
      </w:r>
    </w:p>
    <w:p w:rsidR="00327787" w:rsidRDefault="00327787">
      <w:pPr>
        <w:pStyle w:val="title"/>
      </w:pPr>
      <w:r>
        <w:t>Об утверждении Инструкции о порядке аккредитации научных организаций</w:t>
      </w:r>
    </w:p>
    <w:p w:rsidR="00327787" w:rsidRDefault="00327787">
      <w:pPr>
        <w:pStyle w:val="changei"/>
      </w:pPr>
      <w:r>
        <w:t>Изменения и дополнения:</w:t>
      </w:r>
    </w:p>
    <w:p w:rsidR="00327787" w:rsidRDefault="00327787">
      <w:pPr>
        <w:pStyle w:val="changeadd"/>
      </w:pPr>
      <w:r>
        <w:t>Постановление Национальной академии наук Беларуси, Государственного комитета по науке и технологиям Республики Беларусь и Высшей аттестационной комиссии Республики Беларусь от 30 ноября 2015 г. № 6/25/3 (зарегистрировано в Национальном реестре - № 7/3366 от 12.01.2016 г.) &lt;T21603366&gt;;</w:t>
      </w:r>
    </w:p>
    <w:p w:rsidR="00327787" w:rsidRDefault="00327787">
      <w:pPr>
        <w:pStyle w:val="changeadd"/>
      </w:pPr>
      <w:r>
        <w:t>Постановление Национальной академии наук Беларуси, Государственного комитета по науке и технологиям Республики Беларусь и Высшей аттестационной комиссии Республики Беларусь от 13 августа 2020 г. № 3/10/2 (зарегистрировано в Национальном реестре - № 7/4601 от 25.09.2020 г.) &lt;T22004601&gt;;</w:t>
      </w:r>
    </w:p>
    <w:p w:rsidR="00327787" w:rsidRDefault="00327787">
      <w:pPr>
        <w:pStyle w:val="changeadd"/>
      </w:pPr>
      <w:r>
        <w:t>Постановление Национальной академии наук Беларуси, Государственного комитета по науке и технологиям Республики Беларусь и Высшей аттестационной комиссии Республики Беларусь от 27 апреля 2022 г. № 3/5/1 (зарегистрировано в Национальном реестре - № 7/5010 от 18.05.2022 г.) &lt;T22205010&gt;;</w:t>
      </w:r>
    </w:p>
    <w:p w:rsidR="00327787" w:rsidRDefault="00327787">
      <w:pPr>
        <w:pStyle w:val="changeadd"/>
      </w:pPr>
      <w:r>
        <w:t>Постановление Национальной академии наук Беларуси, Государственного комитета по науке и технологиям Республики Беларусь и Высшей аттестационной комиссии Республики Беларусь от 30 ноября 2023 г. № 8/10/6 (зарегистрировано в Национальном реестре - № 7/5563 от 14.12.2023 г.) &lt;T22305563&gt;;</w:t>
      </w:r>
    </w:p>
    <w:p w:rsidR="00327787" w:rsidRDefault="00327787">
      <w:pPr>
        <w:pStyle w:val="changeadd"/>
      </w:pPr>
      <w:r>
        <w:t>Постановление Национальной академии наук Беларуси, Государственного комитета по науке и технологиям Республики Беларусь и Высшей аттестационной комиссии Республики Беларусь от 2 апреля 2025 г. № 4/5/2 (зарегистрировано в Национальном реестре - № 7/5954 от 24.04.2025 г.) &lt;T22505954&gt;</w:t>
      </w:r>
    </w:p>
    <w:p w:rsidR="00327787" w:rsidRDefault="00327787">
      <w:pPr>
        <w:pStyle w:val="newncpi"/>
      </w:pPr>
      <w:r>
        <w:t> </w:t>
      </w:r>
    </w:p>
    <w:p w:rsidR="00327787" w:rsidRDefault="00327787">
      <w:pPr>
        <w:pStyle w:val="newncpi"/>
      </w:pPr>
      <w:r>
        <w:t>На основании части седьмой статьи 10 Закона Республики Беларусь от 21 октября 1996 г. № 708-XIII «О научной деятельности», абзаца пятого пункта 13 Устава Национальной академии наук Беларуси, утвержденного Указом Президента Республики Беларусь от 3 февраля 2003 г. № 56, пункта 7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и подпункта 3.4 пункта 3 Положения о Высшей аттестационной комиссии Республики Беларусь, утвержденного Указом Президента Республики Беларусь от 16 декабря 2013 г. № 560, Национальная академия наук Беларуси, Государственный комитет по науке и технологиям Республики Беларусь и Высшая аттестационная комиссия Республики Беларусь ПОСТАНОВЛЯЮТ:</w:t>
      </w:r>
    </w:p>
    <w:p w:rsidR="00327787" w:rsidRDefault="00327787">
      <w:pPr>
        <w:pStyle w:val="point"/>
      </w:pPr>
      <w:r>
        <w:t>1. Утвердить Инструкцию о порядке аккредитации научных организаций (прилагается).</w:t>
      </w:r>
    </w:p>
    <w:p w:rsidR="00327787" w:rsidRDefault="00327787">
      <w:pPr>
        <w:pStyle w:val="point"/>
      </w:pPr>
      <w:r>
        <w:t>2. Настоящее постановление вступает в силу после его официального опубликования.</w:t>
      </w:r>
    </w:p>
    <w:p w:rsidR="00327787" w:rsidRDefault="00327787">
      <w:pPr>
        <w:pStyle w:val="newncpi"/>
      </w:pPr>
      <w:r>
        <w:t> </w:t>
      </w:r>
    </w:p>
    <w:tbl>
      <w:tblPr>
        <w:tblW w:w="5000" w:type="pct"/>
        <w:tblCellMar>
          <w:left w:w="0" w:type="dxa"/>
          <w:right w:w="0" w:type="dxa"/>
        </w:tblCellMar>
        <w:tblLook w:val="04A0" w:firstRow="1" w:lastRow="0" w:firstColumn="1" w:lastColumn="0" w:noHBand="0" w:noVBand="1"/>
      </w:tblPr>
      <w:tblGrid>
        <w:gridCol w:w="3275"/>
        <w:gridCol w:w="3208"/>
        <w:gridCol w:w="2874"/>
      </w:tblGrid>
      <w:tr w:rsidR="00327787">
        <w:tc>
          <w:tcPr>
            <w:tcW w:w="1750" w:type="pct"/>
            <w:tcMar>
              <w:top w:w="0" w:type="dxa"/>
              <w:left w:w="6" w:type="dxa"/>
              <w:bottom w:w="0" w:type="dxa"/>
              <w:right w:w="6" w:type="dxa"/>
            </w:tcMar>
            <w:hideMark/>
          </w:tcPr>
          <w:p w:rsidR="00327787" w:rsidRDefault="00327787">
            <w:pPr>
              <w:pStyle w:val="newncpi0"/>
              <w:jc w:val="left"/>
            </w:pPr>
            <w:r>
              <w:rPr>
                <w:rStyle w:val="post"/>
              </w:rPr>
              <w:t>Председатель Президиума</w:t>
            </w:r>
            <w:r>
              <w:br/>
            </w:r>
            <w:r>
              <w:rPr>
                <w:rStyle w:val="post"/>
              </w:rPr>
              <w:t>Национальной академии</w:t>
            </w:r>
            <w:r>
              <w:br/>
            </w:r>
            <w:r>
              <w:rPr>
                <w:rStyle w:val="post"/>
              </w:rPr>
              <w:t xml:space="preserve">наук Беларуси </w:t>
            </w:r>
          </w:p>
          <w:p w:rsidR="00327787" w:rsidRDefault="00327787">
            <w:pPr>
              <w:pStyle w:val="newncpi0"/>
              <w:ind w:firstLine="1021"/>
              <w:jc w:val="left"/>
            </w:pPr>
            <w:proofErr w:type="spellStart"/>
            <w:r>
              <w:rPr>
                <w:rStyle w:val="pers"/>
              </w:rPr>
              <w:lastRenderedPageBreak/>
              <w:t>М.В.Мясникович</w:t>
            </w:r>
            <w:proofErr w:type="spellEnd"/>
          </w:p>
        </w:tc>
        <w:tc>
          <w:tcPr>
            <w:tcW w:w="1714" w:type="pct"/>
            <w:tcMar>
              <w:top w:w="0" w:type="dxa"/>
              <w:left w:w="6" w:type="dxa"/>
              <w:bottom w:w="0" w:type="dxa"/>
              <w:right w:w="6" w:type="dxa"/>
            </w:tcMar>
            <w:hideMark/>
          </w:tcPr>
          <w:p w:rsidR="00327787" w:rsidRDefault="00327787">
            <w:pPr>
              <w:pStyle w:val="newncpi0"/>
              <w:jc w:val="left"/>
            </w:pPr>
            <w:r>
              <w:rPr>
                <w:rStyle w:val="post"/>
              </w:rPr>
              <w:lastRenderedPageBreak/>
              <w:t xml:space="preserve">Председатель </w:t>
            </w:r>
            <w:r>
              <w:br/>
            </w:r>
            <w:r>
              <w:rPr>
                <w:rStyle w:val="post"/>
              </w:rPr>
              <w:t xml:space="preserve">Государственного комитета </w:t>
            </w:r>
            <w:r>
              <w:br/>
            </w:r>
            <w:r>
              <w:rPr>
                <w:rStyle w:val="post"/>
              </w:rPr>
              <w:lastRenderedPageBreak/>
              <w:t xml:space="preserve">по науке и технологиям </w:t>
            </w:r>
            <w:r>
              <w:br/>
            </w:r>
            <w:r>
              <w:rPr>
                <w:rStyle w:val="post"/>
              </w:rPr>
              <w:t>Республики Беларусь</w:t>
            </w:r>
          </w:p>
          <w:p w:rsidR="00327787" w:rsidRDefault="00327787">
            <w:pPr>
              <w:pStyle w:val="newncpi0"/>
              <w:ind w:firstLine="1043"/>
              <w:jc w:val="left"/>
            </w:pPr>
            <w:proofErr w:type="spellStart"/>
            <w:r>
              <w:rPr>
                <w:rStyle w:val="pers"/>
              </w:rPr>
              <w:t>И.В.Войтов</w:t>
            </w:r>
            <w:proofErr w:type="spellEnd"/>
          </w:p>
        </w:tc>
        <w:tc>
          <w:tcPr>
            <w:tcW w:w="1536" w:type="pct"/>
            <w:tcMar>
              <w:top w:w="0" w:type="dxa"/>
              <w:left w:w="6" w:type="dxa"/>
              <w:bottom w:w="0" w:type="dxa"/>
              <w:right w:w="6" w:type="dxa"/>
            </w:tcMar>
            <w:hideMark/>
          </w:tcPr>
          <w:p w:rsidR="00327787" w:rsidRDefault="00327787">
            <w:pPr>
              <w:pStyle w:val="newncpi0"/>
              <w:jc w:val="left"/>
            </w:pPr>
            <w:r>
              <w:rPr>
                <w:rStyle w:val="post"/>
              </w:rPr>
              <w:lastRenderedPageBreak/>
              <w:t xml:space="preserve">Председатель Высшей </w:t>
            </w:r>
            <w:r>
              <w:br/>
            </w:r>
            <w:r>
              <w:rPr>
                <w:rStyle w:val="post"/>
              </w:rPr>
              <w:t xml:space="preserve">аттестационной комиссии </w:t>
            </w:r>
            <w:r>
              <w:br/>
            </w:r>
            <w:r>
              <w:rPr>
                <w:rStyle w:val="post"/>
              </w:rPr>
              <w:t>Республики Беларусь</w:t>
            </w:r>
          </w:p>
          <w:p w:rsidR="00327787" w:rsidRDefault="00327787">
            <w:pPr>
              <w:pStyle w:val="newncpi0"/>
              <w:ind w:firstLine="1021"/>
              <w:jc w:val="left"/>
            </w:pPr>
            <w:proofErr w:type="spellStart"/>
            <w:r>
              <w:rPr>
                <w:rStyle w:val="pers"/>
              </w:rPr>
              <w:lastRenderedPageBreak/>
              <w:t>А.А.Афанасьев</w:t>
            </w:r>
            <w:proofErr w:type="spellEnd"/>
          </w:p>
        </w:tc>
      </w:tr>
    </w:tbl>
    <w:p w:rsidR="00327787" w:rsidRDefault="00327787">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79"/>
        <w:gridCol w:w="3378"/>
      </w:tblGrid>
      <w:tr w:rsidR="00327787">
        <w:tc>
          <w:tcPr>
            <w:tcW w:w="3195" w:type="pct"/>
            <w:tcMar>
              <w:top w:w="0" w:type="dxa"/>
              <w:left w:w="6" w:type="dxa"/>
              <w:bottom w:w="0" w:type="dxa"/>
              <w:right w:w="6" w:type="dxa"/>
            </w:tcMar>
            <w:hideMark/>
          </w:tcPr>
          <w:p w:rsidR="00327787" w:rsidRDefault="00327787">
            <w:pPr>
              <w:pStyle w:val="cap1"/>
            </w:pPr>
            <w:r>
              <w:t> </w:t>
            </w:r>
          </w:p>
        </w:tc>
        <w:tc>
          <w:tcPr>
            <w:tcW w:w="1805" w:type="pct"/>
            <w:tcMar>
              <w:top w:w="0" w:type="dxa"/>
              <w:left w:w="6" w:type="dxa"/>
              <w:bottom w:w="0" w:type="dxa"/>
              <w:right w:w="6" w:type="dxa"/>
            </w:tcMar>
            <w:hideMark/>
          </w:tcPr>
          <w:p w:rsidR="00327787" w:rsidRDefault="00327787">
            <w:pPr>
              <w:pStyle w:val="capu1"/>
            </w:pPr>
            <w:r>
              <w:t>УТВЕРЖДЕНО</w:t>
            </w:r>
          </w:p>
          <w:p w:rsidR="00327787" w:rsidRDefault="00327787">
            <w:pPr>
              <w:pStyle w:val="cap1"/>
            </w:pPr>
            <w:r>
              <w:t xml:space="preserve">Постановление Национальной </w:t>
            </w:r>
            <w:r>
              <w:br/>
              <w:t xml:space="preserve">академии наук Беларуси, </w:t>
            </w:r>
            <w:r>
              <w:br/>
              <w:t xml:space="preserve">Государственного комитета </w:t>
            </w:r>
            <w:r>
              <w:br/>
              <w:t xml:space="preserve">по науке и технологиям </w:t>
            </w:r>
            <w:r>
              <w:br/>
              <w:t xml:space="preserve">Республики Беларусь </w:t>
            </w:r>
            <w:r>
              <w:br/>
              <w:t xml:space="preserve">и Высшей аттестационной </w:t>
            </w:r>
            <w:r>
              <w:br/>
              <w:t>комиссии Республики Беларусь</w:t>
            </w:r>
            <w:r>
              <w:br/>
              <w:t>08.09.2010 № 7/20/2</w:t>
            </w:r>
            <w:r>
              <w:br/>
              <w:t xml:space="preserve">(в редакции постановления </w:t>
            </w:r>
            <w:r>
              <w:br/>
              <w:t xml:space="preserve">Национальной академии </w:t>
            </w:r>
            <w:r>
              <w:br/>
              <w:t xml:space="preserve">наук Беларуси, Государственного </w:t>
            </w:r>
            <w:r>
              <w:br/>
              <w:t xml:space="preserve">комитета по науке и технологиям </w:t>
            </w:r>
            <w:r>
              <w:br/>
              <w:t xml:space="preserve">Республики Беларусь и Высшей </w:t>
            </w:r>
            <w:r>
              <w:br/>
              <w:t xml:space="preserve">аттестационной комиссии </w:t>
            </w:r>
            <w:r>
              <w:br/>
              <w:t>Республики Беларусь</w:t>
            </w:r>
            <w:r>
              <w:br/>
              <w:t>27.04.2022 № 3/5/1)</w:t>
            </w:r>
          </w:p>
        </w:tc>
      </w:tr>
    </w:tbl>
    <w:p w:rsidR="00327787" w:rsidRDefault="00327787">
      <w:pPr>
        <w:pStyle w:val="titleu"/>
      </w:pPr>
      <w:r>
        <w:t>ИНСТРУКЦИЯ</w:t>
      </w:r>
      <w:r>
        <w:br/>
        <w:t>о порядке аккредитации научных организаций</w:t>
      </w:r>
    </w:p>
    <w:p w:rsidR="00327787" w:rsidRDefault="00327787">
      <w:pPr>
        <w:pStyle w:val="chapter"/>
      </w:pPr>
      <w:r>
        <w:t>ГЛАВА 1</w:t>
      </w:r>
      <w:r>
        <w:br/>
        <w:t>ОБЩИЕ ПОЛОЖЕНИЯ</w:t>
      </w:r>
    </w:p>
    <w:p w:rsidR="00327787" w:rsidRDefault="00327787">
      <w:pPr>
        <w:pStyle w:val="point"/>
      </w:pPr>
      <w:r>
        <w:t>1. Настоящая Инструкция определяет порядок аккредитации научных организаций.</w:t>
      </w:r>
    </w:p>
    <w:p w:rsidR="00327787" w:rsidRDefault="00327787">
      <w:pPr>
        <w:pStyle w:val="point"/>
      </w:pPr>
      <w:r>
        <w:t>2. Для целей настоящей Инструкции применяются понятия и их определения в значениях, установленных Законом Республики Беларусь «О научной деятельности».</w:t>
      </w:r>
    </w:p>
    <w:p w:rsidR="00327787" w:rsidRDefault="00327787">
      <w:pPr>
        <w:pStyle w:val="point"/>
      </w:pPr>
      <w:r>
        <w:t>3. Оценка результатов научной, научно-технической и инновационной деятельности юридических лиц, обратившихся за аккредитацией научной организации (далее – заявитель), для целей их аккредитации осуществляется межведомственной комиссией по аккредитации научных организаций (далее, если не установлено иное, – комиссия), создаваемой Национальной академией наук Беларуси (далее, если не установлено иное, – НАН Беларуси) и Государственным комитетом по науке и технологиям (далее, если не установлено иное, – ГКНТ).</w:t>
      </w:r>
    </w:p>
    <w:p w:rsidR="00327787" w:rsidRDefault="00327787">
      <w:pPr>
        <w:pStyle w:val="newncpi"/>
      </w:pPr>
      <w:r>
        <w:t>Оценка, указанная в части первой настоящего пункта, осуществляется в отношении полученных и запланированных результатов научной, научно-технической и инновационной деятельности заявителя.</w:t>
      </w:r>
    </w:p>
    <w:p w:rsidR="00327787" w:rsidRDefault="00327787">
      <w:pPr>
        <w:pStyle w:val="point"/>
      </w:pPr>
      <w:r>
        <w:t>4. Функции, права и порядок работы комиссии определены в главе 3 настоящей Инструкции.</w:t>
      </w:r>
    </w:p>
    <w:p w:rsidR="00327787" w:rsidRDefault="00327787">
      <w:pPr>
        <w:pStyle w:val="newncpi"/>
      </w:pPr>
      <w:r>
        <w:t>Организационно-техническое и методологическое обеспечение деятельности комиссии осуществляется совместно НАН Беларуси и ГКНТ.</w:t>
      </w:r>
    </w:p>
    <w:p w:rsidR="00327787" w:rsidRDefault="00327787">
      <w:pPr>
        <w:pStyle w:val="chapter"/>
      </w:pPr>
      <w:r>
        <w:t>ГЛАВА 2</w:t>
      </w:r>
      <w:r>
        <w:br/>
        <w:t>ПОРЯДОК ПРЕДСТАВЛЕНИЯ ДОКУМЕНТОВ И СВЕДЕНИЙ ДЛЯ АККРЕДИТАЦИИ НАУЧНОЙ ОРГАНИЗАЦИИ</w:t>
      </w:r>
    </w:p>
    <w:p w:rsidR="00327787" w:rsidRDefault="00327787">
      <w:pPr>
        <w:pStyle w:val="point"/>
      </w:pPr>
      <w:r>
        <w:t xml:space="preserve">5. Заявитель представляет по своему усмотрению в НАН Беларуси и (или) ГКНТ документы и сведения, предусмотренные пунктом 2 Регламента административной процедуры, осуществляемой в отношении субъектов хозяйствования, по подпункту 20.1.1 «Получение свидетельства об аккредитации научной организации», утвержденного </w:t>
      </w:r>
      <w:r>
        <w:lastRenderedPageBreak/>
        <w:t>постановлением Национальной академии наук Беларуси от 21 декабря 2021 г. № 7 (далее – Регламент административной процедуры).</w:t>
      </w:r>
    </w:p>
    <w:p w:rsidR="00327787" w:rsidRDefault="00327787">
      <w:pPr>
        <w:pStyle w:val="newncpi"/>
      </w:pPr>
      <w:r>
        <w:t>Заявление на аккредитацию научной организации представляется по форме согласно приложению 1 к Регламенту административной процедуры.</w:t>
      </w:r>
    </w:p>
    <w:p w:rsidR="00327787" w:rsidRDefault="00327787">
      <w:pPr>
        <w:pStyle w:val="newncpi"/>
      </w:pPr>
      <w:r>
        <w:t>Сведения об основных показателях, характеризующих научную, научно-техническую и инновационную деятельность заявителя (далее – сведения), представляются по форме согласно приложению 2 к Регламенту административной процедуры:</w:t>
      </w:r>
    </w:p>
    <w:p w:rsidR="00327787" w:rsidRDefault="00327787">
      <w:pPr>
        <w:pStyle w:val="newncpi"/>
      </w:pPr>
      <w:proofErr w:type="gramStart"/>
      <w:r>
        <w:t>за</w:t>
      </w:r>
      <w:proofErr w:type="gramEnd"/>
      <w:r>
        <w:t xml:space="preserve"> последние пять лет, если с даты включения заявителя в Единый государственный регистр юридических лиц и индивидуальных предпринимателей (далее – ЕГР) прошло пять или более лет;</w:t>
      </w:r>
    </w:p>
    <w:p w:rsidR="00327787" w:rsidRDefault="00327787">
      <w:pPr>
        <w:pStyle w:val="newncpi"/>
      </w:pPr>
      <w:proofErr w:type="gramStart"/>
      <w:r>
        <w:t>за</w:t>
      </w:r>
      <w:proofErr w:type="gramEnd"/>
      <w:r>
        <w:t xml:space="preserve"> весь период деятельности, если с даты включения заявителя в ЕГР прошло менее пяти лет.</w:t>
      </w:r>
    </w:p>
    <w:p w:rsidR="00327787" w:rsidRDefault="00327787">
      <w:pPr>
        <w:pStyle w:val="newncpi"/>
      </w:pPr>
      <w:r>
        <w:t>Основными показателями, характеризующими научную, научно-техническую и инновационную деятельность заявителя, для целей заполнения пункта 1 сведений являются показатели согласно приложению 1.</w:t>
      </w:r>
    </w:p>
    <w:p w:rsidR="00327787" w:rsidRDefault="00327787">
      <w:pPr>
        <w:pStyle w:val="point"/>
      </w:pPr>
      <w:r>
        <w:t>6. Документы, содержащие служебную информацию ограниченного распространения, и сведения, отнесенные к указанной информации, представляются с учетом требований законодательства об информации, информатизации и защите информации.</w:t>
      </w:r>
    </w:p>
    <w:p w:rsidR="00327787" w:rsidRDefault="00327787">
      <w:pPr>
        <w:pStyle w:val="chapter"/>
      </w:pPr>
      <w:r>
        <w:t>ГЛАВА 3</w:t>
      </w:r>
      <w:r>
        <w:br/>
        <w:t>ФУНКЦИИ, ПРАВА И ПОРЯДОК РАБОТЫ КОМИССИИ</w:t>
      </w:r>
    </w:p>
    <w:p w:rsidR="00327787" w:rsidRDefault="00327787">
      <w:pPr>
        <w:pStyle w:val="point"/>
      </w:pPr>
      <w:r>
        <w:t>7. Комиссия является постоянно действующим коллегиальным органом, созданным для осуществления независимой оценки результатов научной, научно-технической и инновационной деятельности заявителей.</w:t>
      </w:r>
    </w:p>
    <w:p w:rsidR="00327787" w:rsidRDefault="00327787">
      <w:pPr>
        <w:pStyle w:val="newncpi"/>
      </w:pPr>
      <w:r>
        <w:t>Комиссия подотчетна Председателю Президиума НАН Беларуси и Председателю ГКНТ, выполняет их поручения, оформленные в письменной форме.</w:t>
      </w:r>
    </w:p>
    <w:p w:rsidR="00327787" w:rsidRDefault="00327787">
      <w:pPr>
        <w:pStyle w:val="point"/>
      </w:pPr>
      <w:r>
        <w:t>8. В своей деятельности комиссия руководствуется законодательством, в том числе настоящей Инструкцией.</w:t>
      </w:r>
    </w:p>
    <w:p w:rsidR="00327787" w:rsidRDefault="00327787">
      <w:pPr>
        <w:pStyle w:val="point"/>
      </w:pPr>
      <w:r>
        <w:t>9. Комиссия формируется в составе двух сопредседателей, секретаря и других членов комиссии.</w:t>
      </w:r>
    </w:p>
    <w:p w:rsidR="00327787" w:rsidRDefault="00327787">
      <w:pPr>
        <w:pStyle w:val="newncpi"/>
      </w:pPr>
      <w:r>
        <w:t>Сопредседателями комиссии являются по должности:</w:t>
      </w:r>
    </w:p>
    <w:p w:rsidR="00327787" w:rsidRDefault="00327787">
      <w:pPr>
        <w:pStyle w:val="newncpi"/>
      </w:pPr>
      <w:proofErr w:type="gramStart"/>
      <w:r>
        <w:t>первый</w:t>
      </w:r>
      <w:proofErr w:type="gramEnd"/>
      <w:r>
        <w:t xml:space="preserve"> заместитель либо заместитель Председателя Президиума НАН Беларуси;</w:t>
      </w:r>
    </w:p>
    <w:p w:rsidR="00327787" w:rsidRDefault="00327787">
      <w:pPr>
        <w:pStyle w:val="newncpi"/>
      </w:pPr>
      <w:proofErr w:type="gramStart"/>
      <w:r>
        <w:t>первый</w:t>
      </w:r>
      <w:proofErr w:type="gramEnd"/>
      <w:r>
        <w:t xml:space="preserve"> заместитель либо заместитель Председателя ГКНТ.</w:t>
      </w:r>
    </w:p>
    <w:p w:rsidR="00327787" w:rsidRDefault="00327787">
      <w:pPr>
        <w:pStyle w:val="newncpi"/>
      </w:pPr>
      <w:r>
        <w:t>В состав комиссии включаются заместители (в том числе первые заместители) руководителей государственных органов, главный ученый секретарь, руководители структурных подразделений государственных органов, иных государственных организаций, подчиненных Президенту Республики Беларусь или Правительству Республики Беларусь, к компетенции которых относятся вопросы научной, научно-технической и инновационной деятельности (с их согласия).</w:t>
      </w:r>
    </w:p>
    <w:p w:rsidR="00327787" w:rsidRDefault="00327787">
      <w:pPr>
        <w:pStyle w:val="newncpi"/>
      </w:pPr>
      <w:r>
        <w:t>Секретарь комиссии определяется из числа членов комиссии при утверждении ее персонального состава.</w:t>
      </w:r>
    </w:p>
    <w:p w:rsidR="00327787" w:rsidRDefault="00327787">
      <w:pPr>
        <w:pStyle w:val="newncpi"/>
      </w:pPr>
      <w:r>
        <w:t>Персональный состав комиссии утверждается председателями Президиума НАН Беларуси, ГКНТ и Высшей аттестационной комиссии.</w:t>
      </w:r>
    </w:p>
    <w:p w:rsidR="00327787" w:rsidRDefault="00327787">
      <w:pPr>
        <w:pStyle w:val="point"/>
      </w:pPr>
      <w:r>
        <w:t>10. Функциями комиссии являются:</w:t>
      </w:r>
    </w:p>
    <w:p w:rsidR="00327787" w:rsidRDefault="00327787">
      <w:pPr>
        <w:pStyle w:val="newncpi"/>
      </w:pPr>
      <w:proofErr w:type="gramStart"/>
      <w:r>
        <w:t>рассмотрение</w:t>
      </w:r>
      <w:proofErr w:type="gramEnd"/>
      <w:r>
        <w:t xml:space="preserve"> представленных заявителем документов и сведений, их анализ и на его основе оценка результатов научной, научно-технической и инновационной деятельности заявителя;</w:t>
      </w:r>
    </w:p>
    <w:p w:rsidR="00327787" w:rsidRDefault="00327787">
      <w:pPr>
        <w:pStyle w:val="newncpi"/>
      </w:pPr>
      <w:proofErr w:type="gramStart"/>
      <w:r>
        <w:t>подготовка</w:t>
      </w:r>
      <w:proofErr w:type="gramEnd"/>
      <w:r>
        <w:t xml:space="preserve"> заключений комиссии об оценке результатов научной, научно-технической и инновационной деятельности заявителей (далее – заключение комиссии);</w:t>
      </w:r>
    </w:p>
    <w:p w:rsidR="00327787" w:rsidRDefault="00327787">
      <w:pPr>
        <w:pStyle w:val="newncpi"/>
      </w:pPr>
      <w:proofErr w:type="gramStart"/>
      <w:r>
        <w:lastRenderedPageBreak/>
        <w:t>участие</w:t>
      </w:r>
      <w:proofErr w:type="gramEnd"/>
      <w:r>
        <w:t xml:space="preserve"> по поручению Председателя Президиума НАН Беларуси и (или) Председателя ГКНТ в рассмотрении обращений и предложений по вопросам аккредитации научных организаций.</w:t>
      </w:r>
    </w:p>
    <w:p w:rsidR="00327787" w:rsidRDefault="00327787">
      <w:pPr>
        <w:pStyle w:val="point"/>
      </w:pPr>
      <w:r>
        <w:t>11. Комиссия для выполнения возложенных на нее функций имеет право:</w:t>
      </w:r>
    </w:p>
    <w:p w:rsidR="00327787" w:rsidRDefault="00327787">
      <w:pPr>
        <w:pStyle w:val="newncpi"/>
      </w:pPr>
      <w:proofErr w:type="gramStart"/>
      <w:r>
        <w:t>запрашивать</w:t>
      </w:r>
      <w:proofErr w:type="gramEnd"/>
      <w:r>
        <w:t xml:space="preserve"> и получать в установленном законодательством порядке от государственных органов, иных государственных организаций, подчиненных Президенту Республики Беларусь, Правительству Республики Беларусь, документы и сведения, необходимые для осуществления аккредитации научных организаций;</w:t>
      </w:r>
    </w:p>
    <w:p w:rsidR="00327787" w:rsidRDefault="00327787">
      <w:pPr>
        <w:pStyle w:val="newncpi"/>
      </w:pPr>
      <w:proofErr w:type="gramStart"/>
      <w:r>
        <w:t>привлекать</w:t>
      </w:r>
      <w:proofErr w:type="gramEnd"/>
      <w:r>
        <w:t xml:space="preserve"> к рассмотрению и анализу представленных заявителем документов и сведений работников аппарата НАН Беларуси, ГКНТ и Высшей аттестационной комиссии.</w:t>
      </w:r>
    </w:p>
    <w:p w:rsidR="00327787" w:rsidRDefault="00327787">
      <w:pPr>
        <w:pStyle w:val="point"/>
      </w:pPr>
      <w:r>
        <w:t>12. Работа комиссии организуется в форме заседаний.</w:t>
      </w:r>
    </w:p>
    <w:p w:rsidR="00327787" w:rsidRDefault="00327787">
      <w:pPr>
        <w:pStyle w:val="newncpi"/>
      </w:pPr>
      <w:r>
        <w:t>Заседание комиссии считается правомочным, если в нем участвует не менее двух третей от списочного состава комиссии.</w:t>
      </w:r>
    </w:p>
    <w:p w:rsidR="00327787" w:rsidRDefault="00327787">
      <w:pPr>
        <w:pStyle w:val="newncpi"/>
      </w:pPr>
      <w:r>
        <w:t>Член комиссии не вправе передавать иному лицу свои полномочия на участие в ее деятельности.</w:t>
      </w:r>
    </w:p>
    <w:p w:rsidR="00327787" w:rsidRDefault="00327787">
      <w:pPr>
        <w:pStyle w:val="newncpi"/>
      </w:pPr>
      <w:r>
        <w:t>При невозможности присутствия члена комиссии на заседании по уважительной причине он заблаговременно представляет свое однозначное мнение по каждому рассматриваемому вопросу в письменной форме.</w:t>
      </w:r>
    </w:p>
    <w:p w:rsidR="00327787" w:rsidRDefault="00327787">
      <w:pPr>
        <w:pStyle w:val="newncpi"/>
      </w:pPr>
      <w:r>
        <w:t>Заявитель информируется о дате, времени и месте проведения заседания комиссии с приглашением руководителя заявителя либо его заместителя (в том числе первого заместителя), курирующего научную, научно-техническую и инновационную деятельность.</w:t>
      </w:r>
    </w:p>
    <w:p w:rsidR="00327787" w:rsidRDefault="00327787">
      <w:pPr>
        <w:pStyle w:val="point"/>
      </w:pPr>
      <w:r>
        <w:t>13. Подготовка заседания комиссии, в том числе формирование повестки дня заседания, информирование членов комиссии и заявителя о дате, времени и месте проведения заседания, оформление протокола заседания и проектов заключений комиссии, а также ведение делопроизводства комиссии осуществляется секретарем комиссии.</w:t>
      </w:r>
    </w:p>
    <w:p w:rsidR="00327787" w:rsidRDefault="00327787">
      <w:pPr>
        <w:pStyle w:val="point"/>
      </w:pPr>
      <w:r>
        <w:t>14. По каждому вопросу повестки заседания комиссия принимает решение о выборе формы голосования (открытого или тайного) простым большинством голосов присутствующих на заседании членов комиссии.</w:t>
      </w:r>
    </w:p>
    <w:p w:rsidR="00327787" w:rsidRDefault="00327787">
      <w:pPr>
        <w:pStyle w:val="newncpi"/>
      </w:pPr>
      <w:r>
        <w:t>При равном распределении голосов принимается решение, за которое проголосовал сопредседатель комиссии, председательствующий на ее заседании.</w:t>
      </w:r>
    </w:p>
    <w:p w:rsidR="00327787" w:rsidRDefault="00327787">
      <w:pPr>
        <w:pStyle w:val="point"/>
      </w:pPr>
      <w:r>
        <w:t>15. Решение комиссии в форме открытого голосования считается принятым, если за него проголосовало большинство членов комиссии, присутствующих на заседании, а также членов комиссии, указанных в части четвертой пункта 12 настоящей Инструкции.</w:t>
      </w:r>
    </w:p>
    <w:p w:rsidR="00327787" w:rsidRDefault="00327787">
      <w:pPr>
        <w:pStyle w:val="point"/>
      </w:pPr>
      <w:r>
        <w:t>16. Тайное голосование проводится только с использованием бюллетеней для голосования членов межведомственной комиссии по аккредитации научных организаций (далее, если не установлено иное, – бюллетень).</w:t>
      </w:r>
    </w:p>
    <w:p w:rsidR="00327787" w:rsidRDefault="00327787">
      <w:pPr>
        <w:pStyle w:val="newncpi"/>
      </w:pPr>
      <w:r>
        <w:t>Бюллетени изготавливаются по форме согласно приложению 2 и выдаются каждому члену комиссии, присутствующему на заседании комиссии. Неполученные бюллетени прошиваются, опечатываются и прилагаются к протоколу.</w:t>
      </w:r>
    </w:p>
    <w:p w:rsidR="00327787" w:rsidRDefault="00327787">
      <w:pPr>
        <w:pStyle w:val="newncpi"/>
      </w:pPr>
      <w:r>
        <w:t>Решение комиссии в форме тайного голосования считается принятым, если за него проголосовало большинство членов комиссии, присутствующих на ее заседании.</w:t>
      </w:r>
    </w:p>
    <w:p w:rsidR="00327787" w:rsidRDefault="00327787">
      <w:pPr>
        <w:pStyle w:val="point"/>
      </w:pPr>
      <w:r>
        <w:t>17. Решения комиссии оформляются протоколом, который подписывается сопредседателями комиссии.</w:t>
      </w:r>
    </w:p>
    <w:p w:rsidR="00327787" w:rsidRDefault="00327787">
      <w:pPr>
        <w:pStyle w:val="newncpi"/>
      </w:pPr>
      <w:r>
        <w:t>К протоколу прилагаются явочный лист с подписями присутствующих на заседании членов комиссии и письменные мнения членов комиссии, указанных в части четвертой пункта 12 настоящей Инструкции (при наличии).</w:t>
      </w:r>
    </w:p>
    <w:p w:rsidR="00327787" w:rsidRDefault="00327787">
      <w:pPr>
        <w:pStyle w:val="point"/>
      </w:pPr>
      <w:r>
        <w:t>18. На основании решения комиссии оформляется заключение комиссии отдельно по каждому заявителю.</w:t>
      </w:r>
    </w:p>
    <w:p w:rsidR="00327787" w:rsidRDefault="00327787">
      <w:pPr>
        <w:pStyle w:val="point"/>
      </w:pPr>
      <w:r>
        <w:t>19. Заключение комиссии должно содержать:</w:t>
      </w:r>
    </w:p>
    <w:p w:rsidR="00327787" w:rsidRDefault="00327787">
      <w:pPr>
        <w:pStyle w:val="newncpi"/>
      </w:pPr>
      <w:proofErr w:type="gramStart"/>
      <w:r>
        <w:t>дату</w:t>
      </w:r>
      <w:proofErr w:type="gramEnd"/>
      <w:r>
        <w:t xml:space="preserve"> заседания комиссии, порядковый номер заключения комиссии;</w:t>
      </w:r>
    </w:p>
    <w:p w:rsidR="00327787" w:rsidRDefault="00327787">
      <w:pPr>
        <w:pStyle w:val="newncpi"/>
      </w:pPr>
      <w:proofErr w:type="gramStart"/>
      <w:r>
        <w:lastRenderedPageBreak/>
        <w:t>общие</w:t>
      </w:r>
      <w:proofErr w:type="gramEnd"/>
      <w:r>
        <w:t xml:space="preserve"> сведения о заявителе: полное и сокращенное наименование; место нахождения; дата и регистрационный номер в ЕГР; контактная информация; ведомственная подчиненность (при наличии); организационно-правовая форма; форма собственности; основной вид экономической деятельности;</w:t>
      </w:r>
    </w:p>
    <w:p w:rsidR="00327787" w:rsidRDefault="00327787">
      <w:pPr>
        <w:pStyle w:val="newncpi"/>
      </w:pPr>
      <w:proofErr w:type="gramStart"/>
      <w:r>
        <w:t>основные</w:t>
      </w:r>
      <w:proofErr w:type="gramEnd"/>
      <w:r>
        <w:t xml:space="preserve"> направления научной, научно-технической и инновационной деятельности;</w:t>
      </w:r>
    </w:p>
    <w:p w:rsidR="00327787" w:rsidRDefault="00327787">
      <w:pPr>
        <w:pStyle w:val="newncpi"/>
      </w:pPr>
      <w:proofErr w:type="gramStart"/>
      <w:r>
        <w:t>основные</w:t>
      </w:r>
      <w:proofErr w:type="gramEnd"/>
      <w:r>
        <w:t xml:space="preserve"> данные, в том числе плановые (прогнозные), о показателях, характеризующих научную, научно-техническую и инновационную деятельность заявителя, если с даты его включения в ЕГР прошло более одного года;</w:t>
      </w:r>
    </w:p>
    <w:p w:rsidR="00327787" w:rsidRDefault="00327787">
      <w:pPr>
        <w:pStyle w:val="newncpi"/>
      </w:pPr>
      <w:proofErr w:type="gramStart"/>
      <w:r>
        <w:t>основные</w:t>
      </w:r>
      <w:proofErr w:type="gramEnd"/>
      <w:r>
        <w:t xml:space="preserve"> плановые (прогнозные) данные о показателях, характеризующих научную, научно-техническую и инновационную деятельность заявителя, если с даты его включения в ЕГР прошло менее одного года;</w:t>
      </w:r>
    </w:p>
    <w:p w:rsidR="00327787" w:rsidRDefault="00327787">
      <w:pPr>
        <w:pStyle w:val="newncpi"/>
      </w:pPr>
      <w:proofErr w:type="gramStart"/>
      <w:r>
        <w:t>выводы</w:t>
      </w:r>
      <w:proofErr w:type="gramEnd"/>
      <w:r>
        <w:t xml:space="preserve"> о научном и научно-техническом потенциале;</w:t>
      </w:r>
    </w:p>
    <w:p w:rsidR="00327787" w:rsidRDefault="00327787">
      <w:pPr>
        <w:pStyle w:val="newncpi"/>
      </w:pPr>
      <w:proofErr w:type="gramStart"/>
      <w:r>
        <w:t>вывод</w:t>
      </w:r>
      <w:proofErr w:type="gramEnd"/>
      <w:r>
        <w:t xml:space="preserve"> о компетентности (некомпетентности) заявителя в выполнении научно-исследовательских, опытно-конструкторских и опытно-технологических работ (далее – научные исследования и разработки);</w:t>
      </w:r>
    </w:p>
    <w:p w:rsidR="00327787" w:rsidRDefault="00327787">
      <w:pPr>
        <w:pStyle w:val="newncpi"/>
      </w:pPr>
      <w:proofErr w:type="gramStart"/>
      <w:r>
        <w:t>особое</w:t>
      </w:r>
      <w:proofErr w:type="gramEnd"/>
      <w:r>
        <w:t xml:space="preserve"> мнение членов комиссии (при наличии).</w:t>
      </w:r>
    </w:p>
    <w:p w:rsidR="00327787" w:rsidRDefault="00327787">
      <w:pPr>
        <w:pStyle w:val="point"/>
      </w:pPr>
      <w:r>
        <w:t>20. Заключение комиссии подписывается сопредседателями комиссии и в течение двух рабочих дней представляется Председателю Президиума НАН Беларуси и Председателю ГКНТ для последующего принятия одного из решений, указанных в подпункте 1.3.4 пункта 1 Регламента административной процедуры.</w:t>
      </w:r>
    </w:p>
    <w:p w:rsidR="00327787" w:rsidRDefault="00327787">
      <w:pPr>
        <w:pStyle w:val="chapter"/>
      </w:pPr>
      <w:r>
        <w:t>ГЛАВА 4</w:t>
      </w:r>
      <w:r>
        <w:br/>
        <w:t>ПОРЯДОК ПРИНЯТИЯ РЕШЕНИЯ ОБ АККРЕДИТАЦИИ (ОТКАЗЕ В АККРЕДИТАЦИИ) НАУЧНОЙ ОРГАНИЗАЦИИ И ВЕДЕНИЯ РЕЕСТРА НАУЧНЫХ ОРГАНИЗАЦИЙ</w:t>
      </w:r>
    </w:p>
    <w:p w:rsidR="00327787" w:rsidRDefault="00327787">
      <w:pPr>
        <w:pStyle w:val="point"/>
      </w:pPr>
      <w:r>
        <w:t>21. О принятом решении заявитель уведомляется в порядке, установленном статьей 27 Закона Республики Беларусь от 28 октября 2008 г. № 433-З «Об основах административных процедур».</w:t>
      </w:r>
    </w:p>
    <w:p w:rsidR="00327787" w:rsidRDefault="00327787">
      <w:pPr>
        <w:pStyle w:val="newncpi"/>
      </w:pPr>
      <w:r>
        <w:t>Свидетельство об аккредитации научной организации выдается по форме согласно приложению 3.</w:t>
      </w:r>
    </w:p>
    <w:p w:rsidR="00327787" w:rsidRDefault="00327787">
      <w:pPr>
        <w:pStyle w:val="point"/>
      </w:pPr>
      <w:r>
        <w:t>22. Научные организации включаются в реестр научных организаций (далее, если не установлено иное, – реестр) в день выдачи свидетельства об аккредитации научной организации.</w:t>
      </w:r>
    </w:p>
    <w:p w:rsidR="00327787" w:rsidRDefault="00327787">
      <w:pPr>
        <w:pStyle w:val="newncpi"/>
      </w:pPr>
      <w:r>
        <w:t>Научные организации исключаются из реестра на следующий день после истечения срока действия свидетельства об аккредитации научной организации (при отсутствии нового свидетельства об аккредитации научной организации).</w:t>
      </w:r>
    </w:p>
    <w:p w:rsidR="00327787" w:rsidRDefault="00327787">
      <w:pPr>
        <w:pStyle w:val="point"/>
      </w:pPr>
      <w:r>
        <w:t>22</w:t>
      </w:r>
      <w:r>
        <w:rPr>
          <w:vertAlign w:val="superscript"/>
        </w:rPr>
        <w:t>1</w:t>
      </w:r>
      <w:r>
        <w:t>. При реорганизации научной организации в форме:</w:t>
      </w:r>
    </w:p>
    <w:p w:rsidR="00327787" w:rsidRDefault="00327787">
      <w:pPr>
        <w:pStyle w:val="newncpi"/>
      </w:pPr>
      <w:proofErr w:type="gramStart"/>
      <w:r>
        <w:t>преобразования</w:t>
      </w:r>
      <w:proofErr w:type="gramEnd"/>
      <w:r>
        <w:t xml:space="preserve"> выданное ей свидетельство об аккредитации научной организации продолжает действовать в отношении вновь возникшего юридического лица;</w:t>
      </w:r>
    </w:p>
    <w:p w:rsidR="00327787" w:rsidRDefault="00327787">
      <w:pPr>
        <w:pStyle w:val="newncpi"/>
      </w:pPr>
      <w:proofErr w:type="gramStart"/>
      <w:r>
        <w:t>присоединения</w:t>
      </w:r>
      <w:proofErr w:type="gramEnd"/>
      <w:r>
        <w:t xml:space="preserve"> к ней другого юридического лица продолжает действовать выданное ей свидетельство об аккредитации научной организации;</w:t>
      </w:r>
    </w:p>
    <w:p w:rsidR="00327787" w:rsidRDefault="00327787">
      <w:pPr>
        <w:pStyle w:val="newncpi"/>
      </w:pPr>
      <w:proofErr w:type="gramStart"/>
      <w:r>
        <w:t>выделения</w:t>
      </w:r>
      <w:proofErr w:type="gramEnd"/>
      <w:r>
        <w:t xml:space="preserve"> из ее состава одного или нескольких юридических лиц без полного или частичного перехода этим лицам прав и обязанностей, связанных с научной, научно-технической и инновационной деятельностью, продолжает действовать выданное ей свидетельство об аккредитации научной организации;</w:t>
      </w:r>
    </w:p>
    <w:p w:rsidR="00327787" w:rsidRDefault="00327787">
      <w:pPr>
        <w:pStyle w:val="newncpi"/>
      </w:pPr>
      <w:proofErr w:type="gramStart"/>
      <w:r>
        <w:t>разделения</w:t>
      </w:r>
      <w:proofErr w:type="gramEnd"/>
      <w:r>
        <w:t xml:space="preserve"> действие выданного ей свидетельства об аккредитации научной организации прекращается;</w:t>
      </w:r>
    </w:p>
    <w:p w:rsidR="00327787" w:rsidRDefault="00327787">
      <w:pPr>
        <w:pStyle w:val="newncpi"/>
      </w:pPr>
      <w:proofErr w:type="gramStart"/>
      <w:r>
        <w:t>слияния</w:t>
      </w:r>
      <w:proofErr w:type="gramEnd"/>
      <w:r>
        <w:t xml:space="preserve"> с одной или несколькими научными организациями действие свидетельства об аккредитации научной организации прекращается.</w:t>
      </w:r>
    </w:p>
    <w:p w:rsidR="00327787" w:rsidRDefault="00327787">
      <w:pPr>
        <w:pStyle w:val="newncpi"/>
      </w:pPr>
      <w:r>
        <w:t xml:space="preserve">В случае, указанном в абзаце шестом части первой настоящего пункта, вновь возникшее юридическое лицо проходит аккредитацию в порядке, установленном настоящей Инструкцией. Срок действия свидетельства об аккредитации научной </w:t>
      </w:r>
      <w:r>
        <w:lastRenderedPageBreak/>
        <w:t>организации, выданного вновь возникшему юридическому лицу, начинается с даты включения его в ЕГР.</w:t>
      </w:r>
    </w:p>
    <w:p w:rsidR="00327787" w:rsidRDefault="00327787">
      <w:pPr>
        <w:pStyle w:val="point"/>
      </w:pPr>
      <w:r>
        <w:t>23. Ведение реестра осуществляется НАН Беларуси в электронном виде и на бумажном носителе по форме согласно приложению 4.</w:t>
      </w:r>
    </w:p>
    <w:p w:rsidR="00327787" w:rsidRDefault="00327787">
      <w:pPr>
        <w:pStyle w:val="point"/>
      </w:pPr>
      <w:r>
        <w:t>24. Перечень научных организаций размещается в глобальной компьютерной сети Интернет на официальных сайтах НАН Беларуси и ГКНТ.</w:t>
      </w:r>
    </w:p>
    <w:p w:rsidR="00327787" w:rsidRDefault="00327787">
      <w:pPr>
        <w:rPr>
          <w:rFonts w:eastAsia="Times New Roman"/>
        </w:rPr>
        <w:sectPr w:rsidR="00327787" w:rsidSect="0032778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327787" w:rsidRDefault="00327787">
      <w:pPr>
        <w:pStyle w:val="newncpi"/>
      </w:pPr>
      <w:r>
        <w:lastRenderedPageBreak/>
        <w:t> </w:t>
      </w:r>
    </w:p>
    <w:p w:rsidR="00327787" w:rsidRDefault="00327787">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327787">
        <w:tc>
          <w:tcPr>
            <w:tcW w:w="2879" w:type="pct"/>
            <w:tcMar>
              <w:top w:w="0" w:type="dxa"/>
              <w:left w:w="6" w:type="dxa"/>
              <w:bottom w:w="0" w:type="dxa"/>
              <w:right w:w="6" w:type="dxa"/>
            </w:tcMar>
            <w:hideMark/>
          </w:tcPr>
          <w:p w:rsidR="00327787" w:rsidRDefault="00327787">
            <w:pPr>
              <w:pStyle w:val="newncpi"/>
            </w:pPr>
            <w:r>
              <w:t> </w:t>
            </w:r>
          </w:p>
        </w:tc>
        <w:tc>
          <w:tcPr>
            <w:tcW w:w="2121" w:type="pct"/>
            <w:tcMar>
              <w:top w:w="0" w:type="dxa"/>
              <w:left w:w="6" w:type="dxa"/>
              <w:bottom w:w="0" w:type="dxa"/>
              <w:right w:w="6" w:type="dxa"/>
            </w:tcMar>
            <w:hideMark/>
          </w:tcPr>
          <w:p w:rsidR="00327787" w:rsidRDefault="00327787">
            <w:pPr>
              <w:pStyle w:val="append1"/>
            </w:pPr>
            <w:r>
              <w:t>Приложение 1</w:t>
            </w:r>
          </w:p>
          <w:p w:rsidR="00327787" w:rsidRDefault="00327787">
            <w:pPr>
              <w:pStyle w:val="append"/>
            </w:pPr>
            <w:proofErr w:type="gramStart"/>
            <w:r>
              <w:t>к</w:t>
            </w:r>
            <w:proofErr w:type="gramEnd"/>
            <w:r>
              <w:t xml:space="preserve"> Инструкции о порядке аккредитации</w:t>
            </w:r>
            <w:r>
              <w:br/>
              <w:t>научных организаций</w:t>
            </w:r>
            <w:r>
              <w:br/>
              <w:t>(в редакции постановления</w:t>
            </w:r>
            <w:r>
              <w:br/>
              <w:t>Национальной академии наук Беларуси,</w:t>
            </w:r>
            <w:r>
              <w:br/>
              <w:t>Государственного комитета по науке</w:t>
            </w:r>
            <w:r>
              <w:br/>
              <w:t>и технологиям Республики Беларусь</w:t>
            </w:r>
            <w:r>
              <w:br/>
              <w:t>и Высшей аттестационной комиссии</w:t>
            </w:r>
            <w:r>
              <w:br/>
              <w:t xml:space="preserve">Республики Беларусь </w:t>
            </w:r>
            <w:r>
              <w:br/>
              <w:t xml:space="preserve">30.11.2023 № 8/10/6) </w:t>
            </w:r>
          </w:p>
        </w:tc>
      </w:tr>
    </w:tbl>
    <w:p w:rsidR="00327787" w:rsidRDefault="00327787">
      <w:pPr>
        <w:pStyle w:val="titlep"/>
        <w:jc w:val="left"/>
      </w:pPr>
      <w:r>
        <w:t xml:space="preserve">ОСНОВНЫЕ </w:t>
      </w:r>
      <w:proofErr w:type="gramStart"/>
      <w:r>
        <w:t>ПОКАЗАТЕЛИ,</w:t>
      </w:r>
      <w:r>
        <w:br/>
        <w:t>характеризующие</w:t>
      </w:r>
      <w:proofErr w:type="gramEnd"/>
      <w:r>
        <w:t xml:space="preserve"> научную, научно-техническую и инновационную деятельность заявителя</w:t>
      </w:r>
    </w:p>
    <w:p w:rsidR="00327787" w:rsidRDefault="00327787">
      <w:pPr>
        <w:pStyle w:val="point"/>
      </w:pPr>
      <w:r>
        <w:t>1. Списочная численность работников (без внешних совместителей и граждан, выполнявших работу по гражданско-правовым договорам) на 31 декабря отчетного года – всего (человек), в том числе имеют ученую степень:</w:t>
      </w:r>
    </w:p>
    <w:p w:rsidR="00327787" w:rsidRDefault="00327787">
      <w:pPr>
        <w:pStyle w:val="underpoint"/>
      </w:pPr>
      <w:r>
        <w:t>1.1</w:t>
      </w:r>
      <w:proofErr w:type="gramStart"/>
      <w:r>
        <w:t>. доктора</w:t>
      </w:r>
      <w:proofErr w:type="gramEnd"/>
      <w:r>
        <w:t xml:space="preserve"> наук;</w:t>
      </w:r>
    </w:p>
    <w:p w:rsidR="00327787" w:rsidRDefault="00327787">
      <w:pPr>
        <w:pStyle w:val="underpoint"/>
      </w:pPr>
      <w:r>
        <w:t>1.2</w:t>
      </w:r>
      <w:proofErr w:type="gramStart"/>
      <w:r>
        <w:t>. кандидата</w:t>
      </w:r>
      <w:proofErr w:type="gramEnd"/>
      <w:r>
        <w:t xml:space="preserve"> наук.</w:t>
      </w:r>
    </w:p>
    <w:p w:rsidR="00327787" w:rsidRDefault="00327787">
      <w:pPr>
        <w:pStyle w:val="point"/>
      </w:pPr>
      <w:r>
        <w:t>2. Списочная численность работников, выполнявших научные исследования и разработки (без внешних совместителей и граждан, выполнявших работу по гражданско-правовым договорам; работников, находящихся в отпусках по беременности и родам, по уходу за ребенком до достижения им возраста трех лет), на 31 декабря отчетного года – всего (человек)*.</w:t>
      </w:r>
    </w:p>
    <w:p w:rsidR="00327787" w:rsidRDefault="00327787">
      <w:pPr>
        <w:pStyle w:val="point"/>
      </w:pPr>
      <w:r>
        <w:t>3. Списочная численность исследователей (из показателя 2) – всего (человек), в том числе имеют ученую степень:</w:t>
      </w:r>
    </w:p>
    <w:p w:rsidR="00327787" w:rsidRDefault="00327787">
      <w:pPr>
        <w:pStyle w:val="underpoint"/>
      </w:pPr>
      <w:r>
        <w:t>3.1</w:t>
      </w:r>
      <w:proofErr w:type="gramStart"/>
      <w:r>
        <w:t>. доктора</w:t>
      </w:r>
      <w:proofErr w:type="gramEnd"/>
      <w:r>
        <w:t xml:space="preserve"> наук;</w:t>
      </w:r>
    </w:p>
    <w:p w:rsidR="00327787" w:rsidRDefault="00327787">
      <w:pPr>
        <w:pStyle w:val="underpoint"/>
      </w:pPr>
      <w:r>
        <w:t>3.2</w:t>
      </w:r>
      <w:proofErr w:type="gramStart"/>
      <w:r>
        <w:t>. кандидата</w:t>
      </w:r>
      <w:proofErr w:type="gramEnd"/>
      <w:r>
        <w:t xml:space="preserve"> наук.</w:t>
      </w:r>
    </w:p>
    <w:p w:rsidR="00327787" w:rsidRDefault="00327787">
      <w:pPr>
        <w:pStyle w:val="point"/>
      </w:pPr>
      <w:r>
        <w:t>4. Списочная численность выполнявших научные исследования и разработки работников (без внешних совместителей и граждан, выполнявших работу по гражданско-правовым договорам; работников, находящихся в отпусках по беременности и родам, по уходу за ребенком до достижения им возраста трех лет), занятых преимущественно оказанием научно-технических услуг другим организациям или иными видами деятельности, не связанными с научными исследованиями и разработками, на 31 декабря отчетного года – всего (человек).</w:t>
      </w:r>
    </w:p>
    <w:p w:rsidR="00327787" w:rsidRDefault="00327787">
      <w:pPr>
        <w:pStyle w:val="point"/>
      </w:pPr>
      <w:r>
        <w:t>5. Распределение численности работников по возрастным группам (из суммы показателей 2 и 4):</w:t>
      </w:r>
    </w:p>
    <w:p w:rsidR="00327787" w:rsidRDefault="00327787">
      <w:pPr>
        <w:pStyle w:val="underpoint"/>
      </w:pPr>
      <w:r>
        <w:t>5.1</w:t>
      </w:r>
      <w:proofErr w:type="gramStart"/>
      <w:r>
        <w:t>. до</w:t>
      </w:r>
      <w:proofErr w:type="gramEnd"/>
      <w:r>
        <w:t xml:space="preserve"> 25 лет;</w:t>
      </w:r>
    </w:p>
    <w:p w:rsidR="00327787" w:rsidRDefault="00327787">
      <w:pPr>
        <w:pStyle w:val="underpoint"/>
      </w:pPr>
      <w:r>
        <w:t>5.2. 25–29 лет;</w:t>
      </w:r>
    </w:p>
    <w:p w:rsidR="00327787" w:rsidRDefault="00327787">
      <w:pPr>
        <w:pStyle w:val="underpoint"/>
      </w:pPr>
      <w:r>
        <w:t>5.3. 30–34 лет;</w:t>
      </w:r>
    </w:p>
    <w:p w:rsidR="00327787" w:rsidRDefault="00327787">
      <w:pPr>
        <w:pStyle w:val="underpoint"/>
      </w:pPr>
      <w:r>
        <w:t>5.4. 35–39 лет;</w:t>
      </w:r>
    </w:p>
    <w:p w:rsidR="00327787" w:rsidRDefault="00327787">
      <w:pPr>
        <w:pStyle w:val="underpoint"/>
      </w:pPr>
      <w:r>
        <w:t>5.5. 40–44 лет;</w:t>
      </w:r>
    </w:p>
    <w:p w:rsidR="00327787" w:rsidRDefault="00327787">
      <w:pPr>
        <w:pStyle w:val="underpoint"/>
      </w:pPr>
      <w:r>
        <w:t>5.6. 45–49 лет;</w:t>
      </w:r>
    </w:p>
    <w:p w:rsidR="00327787" w:rsidRDefault="00327787">
      <w:pPr>
        <w:pStyle w:val="underpoint"/>
      </w:pPr>
      <w:r>
        <w:t>5.7. 50–54 лет;</w:t>
      </w:r>
    </w:p>
    <w:p w:rsidR="00327787" w:rsidRDefault="00327787">
      <w:pPr>
        <w:pStyle w:val="underpoint"/>
      </w:pPr>
      <w:r>
        <w:t>5.8. 55–59 лет;</w:t>
      </w:r>
    </w:p>
    <w:p w:rsidR="00327787" w:rsidRDefault="00327787">
      <w:pPr>
        <w:pStyle w:val="underpoint"/>
      </w:pPr>
      <w:r>
        <w:t>5.9. 60–64 лет;</w:t>
      </w:r>
    </w:p>
    <w:p w:rsidR="00327787" w:rsidRDefault="00327787">
      <w:pPr>
        <w:pStyle w:val="underpoint"/>
      </w:pPr>
      <w:r>
        <w:t>5.10. 65–69 лет;</w:t>
      </w:r>
    </w:p>
    <w:p w:rsidR="00327787" w:rsidRDefault="00327787">
      <w:pPr>
        <w:pStyle w:val="underpoint"/>
      </w:pPr>
      <w:r>
        <w:t>5.11. 70 и старше.</w:t>
      </w:r>
    </w:p>
    <w:p w:rsidR="00327787" w:rsidRDefault="00327787">
      <w:pPr>
        <w:pStyle w:val="point"/>
      </w:pPr>
      <w:r>
        <w:t>6. Численность работников (из показателя 1), которым Высшей аттестационной комиссией на 31 декабря отчетного года присуждена ученая степень, – всего (человек), из них:</w:t>
      </w:r>
    </w:p>
    <w:p w:rsidR="00327787" w:rsidRDefault="00327787">
      <w:pPr>
        <w:pStyle w:val="underpoint"/>
      </w:pPr>
      <w:r>
        <w:t>6.1</w:t>
      </w:r>
      <w:proofErr w:type="gramStart"/>
      <w:r>
        <w:t>. доктора</w:t>
      </w:r>
      <w:proofErr w:type="gramEnd"/>
      <w:r>
        <w:t xml:space="preserve"> наук;</w:t>
      </w:r>
    </w:p>
    <w:p w:rsidR="00327787" w:rsidRDefault="00327787">
      <w:pPr>
        <w:pStyle w:val="underpoint"/>
      </w:pPr>
      <w:r>
        <w:t>6.2</w:t>
      </w:r>
      <w:proofErr w:type="gramStart"/>
      <w:r>
        <w:t>. кандидата</w:t>
      </w:r>
      <w:proofErr w:type="gramEnd"/>
      <w:r>
        <w:t xml:space="preserve"> наук.</w:t>
      </w:r>
    </w:p>
    <w:p w:rsidR="00327787" w:rsidRDefault="00327787">
      <w:pPr>
        <w:pStyle w:val="point"/>
      </w:pPr>
      <w:r>
        <w:lastRenderedPageBreak/>
        <w:t>7. Численность аспирантов (адъюнктов) при реализации заявителем образовательной программы аспирантуры (адъюнктуры) – всего (человек), из них:</w:t>
      </w:r>
    </w:p>
    <w:p w:rsidR="00327787" w:rsidRDefault="00327787">
      <w:pPr>
        <w:pStyle w:val="underpoint"/>
      </w:pPr>
      <w:r>
        <w:t>7.1</w:t>
      </w:r>
      <w:proofErr w:type="gramStart"/>
      <w:r>
        <w:t>. завершили</w:t>
      </w:r>
      <w:proofErr w:type="gramEnd"/>
      <w:r>
        <w:t xml:space="preserve"> обучение в отчетном году и получили квалификацию «Исследователь»;</w:t>
      </w:r>
    </w:p>
    <w:p w:rsidR="00327787" w:rsidRDefault="00327787">
      <w:pPr>
        <w:pStyle w:val="underpoint"/>
      </w:pPr>
      <w:r>
        <w:t>7.2</w:t>
      </w:r>
      <w:proofErr w:type="gramStart"/>
      <w:r>
        <w:t>. завершили</w:t>
      </w:r>
      <w:proofErr w:type="gramEnd"/>
      <w:r>
        <w:t xml:space="preserve"> обучение с защитой диссертации.</w:t>
      </w:r>
    </w:p>
    <w:p w:rsidR="00327787" w:rsidRDefault="00327787">
      <w:pPr>
        <w:pStyle w:val="point"/>
      </w:pPr>
      <w:r>
        <w:t>8. Численность докторантов при реализации заявителем образовательной программы докторантуры – всего (человек), из них:</w:t>
      </w:r>
    </w:p>
    <w:p w:rsidR="00327787" w:rsidRDefault="00327787">
      <w:pPr>
        <w:pStyle w:val="underpoint"/>
      </w:pPr>
      <w:r>
        <w:t>8.1</w:t>
      </w:r>
      <w:proofErr w:type="gramStart"/>
      <w:r>
        <w:t>. завершили</w:t>
      </w:r>
      <w:proofErr w:type="gramEnd"/>
      <w:r>
        <w:t xml:space="preserve"> обучение в отчетном году;</w:t>
      </w:r>
    </w:p>
    <w:p w:rsidR="00327787" w:rsidRDefault="00327787">
      <w:pPr>
        <w:pStyle w:val="underpoint"/>
      </w:pPr>
      <w:r>
        <w:t>8.2</w:t>
      </w:r>
      <w:proofErr w:type="gramStart"/>
      <w:r>
        <w:t>. завершили</w:t>
      </w:r>
      <w:proofErr w:type="gramEnd"/>
      <w:r>
        <w:t xml:space="preserve"> обучение с защитой диссертации.</w:t>
      </w:r>
    </w:p>
    <w:p w:rsidR="00327787" w:rsidRDefault="00327787">
      <w:pPr>
        <w:pStyle w:val="point"/>
      </w:pPr>
      <w:r>
        <w:t>9. Численность работников (из показателя 1), обучающихся в аспирантуре (адъюнктуре), на 31 декабря отчетного года – всего (человек), в том числе в аспирантуре (адъюнктуре) заявителя.</w:t>
      </w:r>
    </w:p>
    <w:p w:rsidR="00327787" w:rsidRDefault="00327787">
      <w:pPr>
        <w:pStyle w:val="point"/>
      </w:pPr>
      <w:r>
        <w:t>10. Численность работников (из показателя 1), обучающихся в докторантуре, на 31 декабря отчетного года – всего (человек), в том числе в докторантуре заявителя.</w:t>
      </w:r>
    </w:p>
    <w:p w:rsidR="00327787" w:rsidRDefault="00327787">
      <w:pPr>
        <w:pStyle w:val="point"/>
      </w:pPr>
      <w:r>
        <w:t>11. Объем производства (для бюджетных организаций – с учетом объемов бюджетных ассигнований) товаров (работ, услуг), за вычетом налогов и сборов, исчисляемых из выручки, – всего (тысяч рублей).</w:t>
      </w:r>
    </w:p>
    <w:p w:rsidR="00327787" w:rsidRDefault="00327787">
      <w:pPr>
        <w:pStyle w:val="point"/>
      </w:pPr>
      <w:r>
        <w:t>12. Объем выполненных научных исследований и разработок, оказанных научно-технических услуг (для бюджетных организаций – с учетом объемов бюджетных ассигнований), за вычетом налогов и сборов, начисляемых из выручки (из показателя 11), – всего (тысяч рублей), в том числе:</w:t>
      </w:r>
    </w:p>
    <w:p w:rsidR="00327787" w:rsidRDefault="00327787">
      <w:pPr>
        <w:pStyle w:val="underpoint"/>
      </w:pPr>
      <w:r>
        <w:t>12.1</w:t>
      </w:r>
      <w:proofErr w:type="gramStart"/>
      <w:r>
        <w:t>. научных</w:t>
      </w:r>
      <w:proofErr w:type="gramEnd"/>
      <w:r>
        <w:t xml:space="preserve"> исследований и разработок;</w:t>
      </w:r>
    </w:p>
    <w:p w:rsidR="00327787" w:rsidRDefault="00327787">
      <w:pPr>
        <w:pStyle w:val="underpoint"/>
      </w:pPr>
      <w:r>
        <w:t>12.2</w:t>
      </w:r>
      <w:proofErr w:type="gramStart"/>
      <w:r>
        <w:t>. научно</w:t>
      </w:r>
      <w:proofErr w:type="gramEnd"/>
      <w:r>
        <w:t>-технических услуг.</w:t>
      </w:r>
    </w:p>
    <w:p w:rsidR="00327787" w:rsidRDefault="00327787">
      <w:pPr>
        <w:pStyle w:val="point"/>
      </w:pPr>
      <w:r>
        <w:t>13. Объем выполненных научных исследований и разработок, оказанных научно-технических услуг собственными силами (из показателя 12) – всего (тысяч рублей).</w:t>
      </w:r>
    </w:p>
    <w:p w:rsidR="00327787" w:rsidRDefault="00327787">
      <w:pPr>
        <w:pStyle w:val="point"/>
      </w:pPr>
      <w:r>
        <w:t>14. Объем финансирования внутренних затрат на выполнение научных исследований и разработок (сумма показателей с 15 по 21) – всего (тысяч рублей).</w:t>
      </w:r>
    </w:p>
    <w:p w:rsidR="00327787" w:rsidRDefault="00327787">
      <w:pPr>
        <w:pStyle w:val="point"/>
      </w:pPr>
      <w:r>
        <w:t>15. Объем финансирования внутренних затрат на выполнение научных исследований и разработок за счет собственных средств – всего (тысяч рублей).</w:t>
      </w:r>
    </w:p>
    <w:p w:rsidR="00327787" w:rsidRDefault="00327787">
      <w:pPr>
        <w:pStyle w:val="point"/>
      </w:pPr>
      <w:r>
        <w:t>16. Объем финансирования внутренних затрат на выполнение научных исследований и разработок за счет бюджетных средств – всего (тысяч рублей), в том числе:</w:t>
      </w:r>
    </w:p>
    <w:p w:rsidR="00327787" w:rsidRDefault="00327787">
      <w:pPr>
        <w:pStyle w:val="underpoint"/>
      </w:pPr>
      <w:r>
        <w:t>16.1</w:t>
      </w:r>
      <w:proofErr w:type="gramStart"/>
      <w:r>
        <w:t>. средства</w:t>
      </w:r>
      <w:proofErr w:type="gramEnd"/>
      <w:r>
        <w:t xml:space="preserve"> республиканского бюджета;</w:t>
      </w:r>
    </w:p>
    <w:p w:rsidR="00327787" w:rsidRDefault="00327787">
      <w:pPr>
        <w:pStyle w:val="underpoint"/>
      </w:pPr>
      <w:r>
        <w:t>16.2</w:t>
      </w:r>
      <w:proofErr w:type="gramStart"/>
      <w:r>
        <w:t>. средства</w:t>
      </w:r>
      <w:proofErr w:type="gramEnd"/>
      <w:r>
        <w:t xml:space="preserve"> местного бюджета;</w:t>
      </w:r>
    </w:p>
    <w:p w:rsidR="00327787" w:rsidRDefault="00327787">
      <w:pPr>
        <w:pStyle w:val="underpoint"/>
      </w:pPr>
      <w:r>
        <w:t>16.3</w:t>
      </w:r>
      <w:proofErr w:type="gramStart"/>
      <w:r>
        <w:t>. средства</w:t>
      </w:r>
      <w:proofErr w:type="gramEnd"/>
      <w:r>
        <w:t xml:space="preserve"> бюджета Союзного государства.</w:t>
      </w:r>
    </w:p>
    <w:p w:rsidR="00327787" w:rsidRDefault="00327787">
      <w:pPr>
        <w:pStyle w:val="point"/>
      </w:pPr>
      <w:r>
        <w:t>17. Объем финансирования внутренних затрат на выполнение научных исследований и разработок за счет средств внебюджетных фондов – всего (тысяч рублей).</w:t>
      </w:r>
    </w:p>
    <w:p w:rsidR="00327787" w:rsidRDefault="00327787">
      <w:pPr>
        <w:pStyle w:val="point"/>
      </w:pPr>
      <w:r>
        <w:t>18. Объем финансирования внутренних затрат на выполнение научных исследований и разработок за счет средств иностранных инвесторов, включая иностранные кредиты и займы, – всего (тысяч рублей).</w:t>
      </w:r>
    </w:p>
    <w:p w:rsidR="00327787" w:rsidRDefault="00327787">
      <w:pPr>
        <w:pStyle w:val="point"/>
      </w:pPr>
      <w:r>
        <w:t>19. Объем финансирования внутренних затрат на выполнение научных исследований и разработок за счет кредитов и займов – всего (тысяч рублей).</w:t>
      </w:r>
    </w:p>
    <w:p w:rsidR="00327787" w:rsidRDefault="00327787">
      <w:pPr>
        <w:pStyle w:val="point"/>
      </w:pPr>
      <w:r>
        <w:t>20. Объем финансирования внутренних затрат на выполнение научных исследований и разработок за счет средств других организаций – всего (тысяч рублей).</w:t>
      </w:r>
    </w:p>
    <w:p w:rsidR="00327787" w:rsidRDefault="00327787">
      <w:pPr>
        <w:pStyle w:val="point"/>
      </w:pPr>
      <w:r>
        <w:t>21. Объем финансирования внутренних затрат на выполнение научных исследований и разработок за счет прочих средств – всего (тысяч рублей).</w:t>
      </w:r>
    </w:p>
    <w:p w:rsidR="00327787" w:rsidRDefault="00327787">
      <w:pPr>
        <w:pStyle w:val="point"/>
      </w:pPr>
      <w:r>
        <w:t>22. Капитальные затраты на научные исследования и разработки – всего (тысяч рублей), в том числе:</w:t>
      </w:r>
    </w:p>
    <w:p w:rsidR="00327787" w:rsidRDefault="00327787">
      <w:pPr>
        <w:pStyle w:val="underpoint"/>
      </w:pPr>
      <w:r>
        <w:t>22.1</w:t>
      </w:r>
      <w:proofErr w:type="gramStart"/>
      <w:r>
        <w:t>. на</w:t>
      </w:r>
      <w:proofErr w:type="gramEnd"/>
      <w:r>
        <w:t xml:space="preserve"> земельные участки и здания – всего, из них за счет бюджетных средств;</w:t>
      </w:r>
    </w:p>
    <w:p w:rsidR="00327787" w:rsidRDefault="00327787">
      <w:pPr>
        <w:pStyle w:val="underpoint"/>
      </w:pPr>
      <w:r>
        <w:t>22.2</w:t>
      </w:r>
      <w:proofErr w:type="gramStart"/>
      <w:r>
        <w:t>. на</w:t>
      </w:r>
      <w:proofErr w:type="gramEnd"/>
      <w:r>
        <w:t xml:space="preserve"> оборудование – всего, из них за счет бюджетных средств;</w:t>
      </w:r>
    </w:p>
    <w:p w:rsidR="00327787" w:rsidRDefault="00327787">
      <w:pPr>
        <w:pStyle w:val="underpoint"/>
      </w:pPr>
      <w:r>
        <w:t>22.3</w:t>
      </w:r>
      <w:proofErr w:type="gramStart"/>
      <w:r>
        <w:t>. прочие</w:t>
      </w:r>
      <w:proofErr w:type="gramEnd"/>
      <w:r>
        <w:t> – всего, из них за счет бюджетных средств.</w:t>
      </w:r>
    </w:p>
    <w:p w:rsidR="00327787" w:rsidRDefault="00327787">
      <w:pPr>
        <w:pStyle w:val="point"/>
      </w:pPr>
      <w:r>
        <w:t>23. Участие в выполнении программ – всего (число программ/количество заданий (мероприятий), в том числе:</w:t>
      </w:r>
    </w:p>
    <w:p w:rsidR="00327787" w:rsidRDefault="00327787">
      <w:pPr>
        <w:pStyle w:val="underpoint"/>
      </w:pPr>
      <w:r>
        <w:t>23.1</w:t>
      </w:r>
      <w:proofErr w:type="gramStart"/>
      <w:r>
        <w:t>. государственные</w:t>
      </w:r>
      <w:proofErr w:type="gramEnd"/>
      <w:r>
        <w:t xml:space="preserve"> программы;</w:t>
      </w:r>
    </w:p>
    <w:p w:rsidR="00327787" w:rsidRDefault="00327787">
      <w:pPr>
        <w:pStyle w:val="underpoint"/>
      </w:pPr>
      <w:r>
        <w:t>23.2</w:t>
      </w:r>
      <w:proofErr w:type="gramStart"/>
      <w:r>
        <w:t>. государственные</w:t>
      </w:r>
      <w:proofErr w:type="gramEnd"/>
      <w:r>
        <w:t xml:space="preserve"> программы научных исследований;</w:t>
      </w:r>
    </w:p>
    <w:p w:rsidR="00327787" w:rsidRDefault="00327787">
      <w:pPr>
        <w:pStyle w:val="underpoint"/>
      </w:pPr>
      <w:r>
        <w:t>23.3</w:t>
      </w:r>
      <w:proofErr w:type="gramStart"/>
      <w:r>
        <w:t>. государственные</w:t>
      </w:r>
      <w:proofErr w:type="gramEnd"/>
      <w:r>
        <w:t xml:space="preserve"> научно-технические программы;</w:t>
      </w:r>
    </w:p>
    <w:p w:rsidR="00327787" w:rsidRDefault="00327787">
      <w:pPr>
        <w:pStyle w:val="underpoint"/>
      </w:pPr>
      <w:r>
        <w:t>23.4</w:t>
      </w:r>
      <w:proofErr w:type="gramStart"/>
      <w:r>
        <w:t>. региональные</w:t>
      </w:r>
      <w:proofErr w:type="gramEnd"/>
      <w:r>
        <w:t xml:space="preserve"> научно-технические программы;</w:t>
      </w:r>
    </w:p>
    <w:p w:rsidR="00327787" w:rsidRDefault="00327787">
      <w:pPr>
        <w:pStyle w:val="underpoint"/>
      </w:pPr>
      <w:r>
        <w:lastRenderedPageBreak/>
        <w:t>23.5</w:t>
      </w:r>
      <w:proofErr w:type="gramStart"/>
      <w:r>
        <w:t>. отраслевые</w:t>
      </w:r>
      <w:proofErr w:type="gramEnd"/>
      <w:r>
        <w:t xml:space="preserve"> научно-технические программы;</w:t>
      </w:r>
    </w:p>
    <w:p w:rsidR="00327787" w:rsidRDefault="00327787">
      <w:pPr>
        <w:pStyle w:val="underpoint"/>
      </w:pPr>
      <w:r>
        <w:t>23.6</w:t>
      </w:r>
      <w:proofErr w:type="gramStart"/>
      <w:r>
        <w:t>. межгосударственные</w:t>
      </w:r>
      <w:proofErr w:type="gramEnd"/>
      <w:r>
        <w:t xml:space="preserve"> программы.</w:t>
      </w:r>
    </w:p>
    <w:p w:rsidR="00327787" w:rsidRDefault="00327787">
      <w:pPr>
        <w:pStyle w:val="point"/>
      </w:pPr>
      <w:r>
        <w:t>24. Проекты в рамках конкурсов Белорусского республиканского фонда фундаментальных исследований – всего (число проектов).</w:t>
      </w:r>
    </w:p>
    <w:p w:rsidR="00327787" w:rsidRDefault="00327787">
      <w:pPr>
        <w:pStyle w:val="point"/>
      </w:pPr>
      <w:r>
        <w:t>25. Проекты, выполняемые в рамках Государственной программы инновационного развития Республики Беларусь, – всего (число проектов).</w:t>
      </w:r>
    </w:p>
    <w:p w:rsidR="00327787" w:rsidRDefault="00327787">
      <w:pPr>
        <w:pStyle w:val="point"/>
      </w:pPr>
      <w:r>
        <w:t>26. Международные научно-технические проекты (без учета проектов в рамках конкурсов Белорусского республиканского фонда фундаментальных исследований), зарубежные гранты – всего (проектов, грантов).</w:t>
      </w:r>
    </w:p>
    <w:p w:rsidR="00327787" w:rsidRDefault="00327787">
      <w:pPr>
        <w:pStyle w:val="point"/>
      </w:pPr>
      <w:r>
        <w:t>27. Научные исследования и разработки, не включенные в показатели 23–26, – всего (число работ), в том числе научные исследования и разработки (их проекты), прошедшие в установленном порядке экспертизу в рамках функционирования единой системы государственной научной и государственной научно-технической экспертиз.</w:t>
      </w:r>
    </w:p>
    <w:p w:rsidR="00327787" w:rsidRDefault="00327787">
      <w:pPr>
        <w:pStyle w:val="point"/>
      </w:pPr>
      <w:r>
        <w:t>28. Научные исследования и разработки (из показателя 27), выполняемые в инициативном порядке при отсутствии заказчика и государственного гранта на науку**, – всего (число работ).</w:t>
      </w:r>
    </w:p>
    <w:p w:rsidR="00327787" w:rsidRDefault="00327787">
      <w:pPr>
        <w:pStyle w:val="point"/>
      </w:pPr>
      <w:r>
        <w:t>29. Отчетные документы о научных исследованиях и разработках по результатам завершенных работ, зарегистрированных в государственном реестре научных исследований и разработок в порядке, определенном Указом Президента Республики Беларусь от 25 мая 2006 г. № 356 «О государственной регистрации научно-исследовательских, опытно-конструкторских и опытно-технологических работ»:</w:t>
      </w:r>
    </w:p>
    <w:p w:rsidR="00327787" w:rsidRDefault="00327787">
      <w:pPr>
        <w:pStyle w:val="underpoint"/>
      </w:pPr>
      <w:r>
        <w:t>29.1</w:t>
      </w:r>
      <w:proofErr w:type="gramStart"/>
      <w:r>
        <w:t>. всего</w:t>
      </w:r>
      <w:proofErr w:type="gramEnd"/>
      <w:r>
        <w:t xml:space="preserve"> (единиц);</w:t>
      </w:r>
    </w:p>
    <w:p w:rsidR="00327787" w:rsidRDefault="00327787">
      <w:pPr>
        <w:pStyle w:val="underpoint"/>
      </w:pPr>
      <w:r>
        <w:t>29.2</w:t>
      </w:r>
      <w:proofErr w:type="gramStart"/>
      <w:r>
        <w:t>. объем</w:t>
      </w:r>
      <w:proofErr w:type="gramEnd"/>
      <w:r>
        <w:t xml:space="preserve"> финансирования (тысяч рублей).</w:t>
      </w:r>
    </w:p>
    <w:p w:rsidR="00327787" w:rsidRDefault="00327787">
      <w:pPr>
        <w:pStyle w:val="point"/>
      </w:pPr>
      <w:r>
        <w:t>30. Создано новых методов и методик, макетов и (или) экспериментальных образцов (приборов, устройств, систем, комплексов, материалов, препаратов и др.), сортов растений, лабораторных технологий (из показателя 23.2) – всего (единиц).</w:t>
      </w:r>
    </w:p>
    <w:p w:rsidR="00327787" w:rsidRDefault="00327787">
      <w:pPr>
        <w:pStyle w:val="point"/>
      </w:pPr>
      <w:r>
        <w:t>31. Создано новшеств (из показателей 23.1, 23.3–23.6, 24–27) – всего (единиц).</w:t>
      </w:r>
    </w:p>
    <w:p w:rsidR="00327787" w:rsidRDefault="00327787">
      <w:pPr>
        <w:pStyle w:val="point"/>
      </w:pPr>
      <w:r>
        <w:t>32. Освоено новшеств (из показателей 23.1, 23.3–23.6, 24–27) – всего (единиц).</w:t>
      </w:r>
    </w:p>
    <w:p w:rsidR="00327787" w:rsidRDefault="00327787">
      <w:pPr>
        <w:pStyle w:val="point"/>
      </w:pPr>
      <w:r>
        <w:t>33. Разработано конструкторской документации (из показателей 23.1, 23.3–23.6, 24–27) – всего (единиц).</w:t>
      </w:r>
    </w:p>
    <w:p w:rsidR="00327787" w:rsidRDefault="00327787">
      <w:pPr>
        <w:pStyle w:val="point"/>
      </w:pPr>
      <w:r>
        <w:t>34. Разработано технологической документации (из показателей 23.1, 23.3–23.6, 24–27) – всего (единиц).</w:t>
      </w:r>
    </w:p>
    <w:p w:rsidR="00327787" w:rsidRDefault="00327787">
      <w:pPr>
        <w:pStyle w:val="point"/>
      </w:pPr>
      <w:r>
        <w:t>35. Количество опубликованных статей в научных журналах и изданиях – всего (единиц), в том числе в рецензируемых научных журналах и изданиях.</w:t>
      </w:r>
    </w:p>
    <w:p w:rsidR="00327787" w:rsidRDefault="00327787">
      <w:pPr>
        <w:pStyle w:val="point"/>
      </w:pPr>
      <w:r>
        <w:t>36. Количество опубликованных книжных изданий – всего (единиц), в том числе монографий.</w:t>
      </w:r>
    </w:p>
    <w:p w:rsidR="00327787" w:rsidRDefault="00327787">
      <w:pPr>
        <w:pStyle w:val="point"/>
      </w:pPr>
      <w:r>
        <w:t>37. Количество публикаций, включенных в </w:t>
      </w:r>
      <w:proofErr w:type="spellStart"/>
      <w:r>
        <w:t>наукометрические</w:t>
      </w:r>
      <w:proofErr w:type="spellEnd"/>
      <w:r>
        <w:t xml:space="preserve"> базы данных (единиц):</w:t>
      </w:r>
    </w:p>
    <w:p w:rsidR="00327787" w:rsidRDefault="00327787">
      <w:pPr>
        <w:pStyle w:val="underpoint"/>
      </w:pPr>
      <w:r>
        <w:t>37.1. </w:t>
      </w:r>
      <w:proofErr w:type="spellStart"/>
      <w:r>
        <w:t>Web</w:t>
      </w:r>
      <w:proofErr w:type="spellEnd"/>
      <w:r>
        <w:t xml:space="preserve"> </w:t>
      </w:r>
      <w:proofErr w:type="spellStart"/>
      <w:r>
        <w:t>of</w:t>
      </w:r>
      <w:proofErr w:type="spellEnd"/>
      <w:r>
        <w:t xml:space="preserve"> </w:t>
      </w:r>
      <w:proofErr w:type="spellStart"/>
      <w:r>
        <w:t>Science</w:t>
      </w:r>
      <w:proofErr w:type="spellEnd"/>
      <w:r>
        <w:t>;</w:t>
      </w:r>
    </w:p>
    <w:p w:rsidR="00327787" w:rsidRDefault="00327787">
      <w:pPr>
        <w:pStyle w:val="underpoint"/>
      </w:pPr>
      <w:r>
        <w:t>37.2. </w:t>
      </w:r>
      <w:proofErr w:type="spellStart"/>
      <w:r>
        <w:t>Scopus</w:t>
      </w:r>
      <w:proofErr w:type="spellEnd"/>
      <w:r>
        <w:t>;</w:t>
      </w:r>
    </w:p>
    <w:p w:rsidR="00327787" w:rsidRDefault="00327787">
      <w:pPr>
        <w:pStyle w:val="underpoint"/>
      </w:pPr>
      <w:r>
        <w:t>37.3. Российский индекс научного цитирования.</w:t>
      </w:r>
    </w:p>
    <w:p w:rsidR="00327787" w:rsidRDefault="00327787">
      <w:pPr>
        <w:pStyle w:val="point"/>
      </w:pPr>
      <w:r>
        <w:t>38. Количество периодических изданий, учредителем которых является заявитель, включенных в </w:t>
      </w:r>
      <w:proofErr w:type="spellStart"/>
      <w:r>
        <w:t>наукометрические</w:t>
      </w:r>
      <w:proofErr w:type="spellEnd"/>
      <w:r>
        <w:t xml:space="preserve"> базы данных, – всего (единиц).</w:t>
      </w:r>
    </w:p>
    <w:p w:rsidR="00327787" w:rsidRDefault="00327787">
      <w:pPr>
        <w:pStyle w:val="point"/>
      </w:pPr>
      <w:r>
        <w:t>39. Количество периодических изданий, учредителем которых является заявитель, включенных в перечень научных изданий Республики Беларусь для опубликования результатов диссертационных исследований, – всего (единиц).</w:t>
      </w:r>
    </w:p>
    <w:p w:rsidR="00327787" w:rsidRDefault="00327787">
      <w:pPr>
        <w:pStyle w:val="point"/>
      </w:pPr>
      <w:r>
        <w:t>40. Количество разработанных технических нормативных правовых актов – всего (единиц).</w:t>
      </w:r>
    </w:p>
    <w:p w:rsidR="00327787" w:rsidRDefault="00327787">
      <w:pPr>
        <w:pStyle w:val="point"/>
      </w:pPr>
      <w:r>
        <w:t>41. Количество поданных заявок на выдачу охранных документов (патентов, свидетельств) на объекты права промышленной собственности – всего (единиц), в том числе за пределами Республики Беларусь.</w:t>
      </w:r>
    </w:p>
    <w:p w:rsidR="00327787" w:rsidRDefault="00327787">
      <w:pPr>
        <w:pStyle w:val="point"/>
      </w:pPr>
      <w:r>
        <w:t>42. Количество полученных охранных документов (патентов, свидетельств) на объекты права промышленной собственности – всего (единиц), в том числе за пределами Республики Беларусь.</w:t>
      </w:r>
    </w:p>
    <w:p w:rsidR="00327787" w:rsidRDefault="00327787">
      <w:pPr>
        <w:pStyle w:val="point"/>
      </w:pPr>
      <w:r>
        <w:t>43. Количество секретов производства (ноу-хау) – всего (единиц).</w:t>
      </w:r>
    </w:p>
    <w:p w:rsidR="00327787" w:rsidRDefault="00327787">
      <w:pPr>
        <w:pStyle w:val="point"/>
      </w:pPr>
      <w:r>
        <w:lastRenderedPageBreak/>
        <w:t>44. Количество действующих охранных документов (патентов, свидетельств) на объекты права промышленной собственности на конец отчетного года – всего (единиц), в том числе за пределами Республики Беларусь.</w:t>
      </w:r>
    </w:p>
    <w:p w:rsidR="00327787" w:rsidRDefault="00327787">
      <w:pPr>
        <w:pStyle w:val="point"/>
      </w:pPr>
      <w:r>
        <w:t>45. Количество результатов научной и научно-технической деятельности, созданных заявителем (далее – НТД), права на которые в установленном порядке включены в государственный реестр прав на результаты научной и научно-технической деятельности, – всего (единиц).</w:t>
      </w:r>
    </w:p>
    <w:p w:rsidR="00327787" w:rsidRDefault="00327787">
      <w:pPr>
        <w:pStyle w:val="point"/>
      </w:pPr>
      <w:r>
        <w:t>46. Количество результатов НТД (из показателей 23–27), используемых при производстве товаров, выполнении работ, оказании услуг, – всего (единиц).</w:t>
      </w:r>
    </w:p>
    <w:p w:rsidR="00327787" w:rsidRDefault="00327787">
      <w:pPr>
        <w:pStyle w:val="point"/>
      </w:pPr>
      <w:r>
        <w:t>47. Количество действующих договоров о предоставлении права на использование объектов интеллектуальной собственности, по которым заявитель предоставляет права, – всего (единиц), в том числе с нерезидентами Республики Беларусь.</w:t>
      </w:r>
    </w:p>
    <w:p w:rsidR="00327787" w:rsidRDefault="00327787">
      <w:pPr>
        <w:pStyle w:val="point"/>
      </w:pPr>
      <w:r>
        <w:t>48. Поступило денежных средств (из показателя 47) – всего (тысяч рублей).</w:t>
      </w:r>
    </w:p>
    <w:p w:rsidR="00327787" w:rsidRDefault="00327787">
      <w:pPr>
        <w:pStyle w:val="point"/>
      </w:pPr>
      <w:r>
        <w:t>49. Количество действующих договоров о приобретении права на использование объектов интеллектуальной собственности, по которым заявитель приобретает права, – всего (единиц), в том числе с нерезидентами Республики Беларусь.</w:t>
      </w:r>
    </w:p>
    <w:p w:rsidR="00327787" w:rsidRDefault="00327787">
      <w:pPr>
        <w:pStyle w:val="point"/>
      </w:pPr>
      <w:r>
        <w:t>50. Поступило денежных средств от реализации заявителем товаров (работ, услуг), созданных им на основе результатов НТД, – всего (тысяч рублей).</w:t>
      </w:r>
    </w:p>
    <w:p w:rsidR="00327787" w:rsidRDefault="00327787">
      <w:pPr>
        <w:pStyle w:val="point"/>
      </w:pPr>
      <w:r>
        <w:t>51. Затраты на инновации – всего (тысяч рублей), в том числе***:</w:t>
      </w:r>
    </w:p>
    <w:p w:rsidR="00327787" w:rsidRDefault="00327787">
      <w:pPr>
        <w:pStyle w:val="underpoint"/>
      </w:pPr>
      <w:r>
        <w:t>51.1</w:t>
      </w:r>
      <w:proofErr w:type="gramStart"/>
      <w:r>
        <w:t>. продуктовые</w:t>
      </w:r>
      <w:proofErr w:type="gramEnd"/>
      <w:r>
        <w:t xml:space="preserve"> инновации;</w:t>
      </w:r>
    </w:p>
    <w:p w:rsidR="00327787" w:rsidRDefault="00327787">
      <w:pPr>
        <w:pStyle w:val="underpoint"/>
      </w:pPr>
      <w:r>
        <w:t>51.2</w:t>
      </w:r>
      <w:proofErr w:type="gramStart"/>
      <w:r>
        <w:t>. инновации</w:t>
      </w:r>
      <w:proofErr w:type="gramEnd"/>
      <w:r>
        <w:t xml:space="preserve"> бизнес-процесса.</w:t>
      </w:r>
    </w:p>
    <w:p w:rsidR="00327787" w:rsidRDefault="00327787">
      <w:pPr>
        <w:pStyle w:val="point"/>
      </w:pPr>
      <w:r>
        <w:t xml:space="preserve">52. Объем отгруженной инновационной продукции (выполненных работ, оказанных слуг) собственного производства – всего (тысяч </w:t>
      </w:r>
      <w:proofErr w:type="gramStart"/>
      <w:r>
        <w:t>рублей)*</w:t>
      </w:r>
      <w:proofErr w:type="gramEnd"/>
      <w:r>
        <w:t>**.</w:t>
      </w:r>
    </w:p>
    <w:p w:rsidR="00327787" w:rsidRDefault="00327787">
      <w:pPr>
        <w:pStyle w:val="point"/>
      </w:pPr>
      <w:r>
        <w:t>53. Удельный вес инновационной продукции (выполненных работ, оказанных слуг) в общем объеме отгруженной продукции (выполненных работ, оказанных слуг) собственного производства (процент)***.</w:t>
      </w:r>
    </w:p>
    <w:p w:rsidR="00327787" w:rsidRDefault="00327787">
      <w:pPr>
        <w:pStyle w:val="point"/>
      </w:pPr>
      <w:r>
        <w:t>54. Объем экспорта товаров – всего (тысяч долларов США).</w:t>
      </w:r>
    </w:p>
    <w:p w:rsidR="00327787" w:rsidRDefault="00327787">
      <w:pPr>
        <w:pStyle w:val="point"/>
      </w:pPr>
      <w:r>
        <w:t>55. Объем экспорта услуг – всего (тысяч долларов США).</w:t>
      </w:r>
    </w:p>
    <w:p w:rsidR="00327787" w:rsidRDefault="00327787">
      <w:pPr>
        <w:pStyle w:val="point"/>
      </w:pPr>
      <w:r>
        <w:t>56. Доля экспорта высокотехнологичных товаров и наукоемких высокотехнологичных услуг в общем экспорте (процент).</w:t>
      </w:r>
    </w:p>
    <w:p w:rsidR="00327787" w:rsidRDefault="00327787">
      <w:pPr>
        <w:pStyle w:val="point"/>
      </w:pPr>
      <w:r>
        <w:t>57. Количество структурных подразделений, осуществляющих (обеспечивающих) научную, научно-техническую и инновационную деятельность заявителя (единиц):</w:t>
      </w:r>
    </w:p>
    <w:p w:rsidR="00327787" w:rsidRDefault="00327787">
      <w:pPr>
        <w:pStyle w:val="underpoint"/>
      </w:pPr>
      <w:r>
        <w:t>57.1</w:t>
      </w:r>
      <w:proofErr w:type="gramStart"/>
      <w:r>
        <w:t>. научно</w:t>
      </w:r>
      <w:proofErr w:type="gramEnd"/>
      <w:r>
        <w:t>-исследовательских;</w:t>
      </w:r>
    </w:p>
    <w:p w:rsidR="00327787" w:rsidRDefault="00327787">
      <w:pPr>
        <w:pStyle w:val="underpoint"/>
      </w:pPr>
      <w:r>
        <w:t>57.2</w:t>
      </w:r>
      <w:proofErr w:type="gramStart"/>
      <w:r>
        <w:t>. проектно</w:t>
      </w:r>
      <w:proofErr w:type="gramEnd"/>
      <w:r>
        <w:t>-конструкторских;</w:t>
      </w:r>
    </w:p>
    <w:p w:rsidR="00327787" w:rsidRDefault="00327787">
      <w:pPr>
        <w:pStyle w:val="underpoint"/>
      </w:pPr>
      <w:r>
        <w:t>57.3</w:t>
      </w:r>
      <w:proofErr w:type="gramStart"/>
      <w:r>
        <w:t>. по</w:t>
      </w:r>
      <w:proofErr w:type="gramEnd"/>
      <w:r>
        <w:t xml:space="preserve"> охране и управлению интеллектуальной собственностью (либо структурное подразделение, на которое возложены функции по охране и управлению интеллектуальной собственностью);</w:t>
      </w:r>
    </w:p>
    <w:p w:rsidR="00327787" w:rsidRDefault="00327787">
      <w:pPr>
        <w:pStyle w:val="underpoint"/>
      </w:pPr>
      <w:r>
        <w:t>57.4</w:t>
      </w:r>
      <w:proofErr w:type="gramStart"/>
      <w:r>
        <w:t>. маркетинговых</w:t>
      </w:r>
      <w:proofErr w:type="gramEnd"/>
      <w:r>
        <w:t>;</w:t>
      </w:r>
    </w:p>
    <w:p w:rsidR="00327787" w:rsidRDefault="00327787">
      <w:pPr>
        <w:pStyle w:val="underpoint"/>
      </w:pPr>
      <w:r>
        <w:t>57.5</w:t>
      </w:r>
      <w:proofErr w:type="gramStart"/>
      <w:r>
        <w:t>. отраслевых</w:t>
      </w:r>
      <w:proofErr w:type="gramEnd"/>
      <w:r>
        <w:t xml:space="preserve"> лабораторий;</w:t>
      </w:r>
    </w:p>
    <w:p w:rsidR="00327787" w:rsidRDefault="00327787">
      <w:pPr>
        <w:pStyle w:val="underpoint"/>
      </w:pPr>
      <w:r>
        <w:t>57.6</w:t>
      </w:r>
      <w:proofErr w:type="gramStart"/>
      <w:r>
        <w:t>. аккредитованных</w:t>
      </w:r>
      <w:proofErr w:type="gramEnd"/>
      <w:r>
        <w:t xml:space="preserve"> испытательных лабораторий (центров).</w:t>
      </w:r>
    </w:p>
    <w:p w:rsidR="00327787" w:rsidRDefault="00327787">
      <w:pPr>
        <w:pStyle w:val="point"/>
      </w:pPr>
      <w:r>
        <w:t>58. Количество действующих центров коллективного пользования уникальным научным оборудованием – всего (единиц).</w:t>
      </w:r>
    </w:p>
    <w:p w:rsidR="00327787" w:rsidRDefault="00327787">
      <w:pPr>
        <w:pStyle w:val="snoskiline"/>
      </w:pPr>
      <w:r>
        <w:t>______________________________</w:t>
      </w:r>
    </w:p>
    <w:p w:rsidR="00327787" w:rsidRDefault="00327787">
      <w:pPr>
        <w:pStyle w:val="snoski"/>
      </w:pPr>
      <w:r>
        <w:t>* Не учитываются данные о работниках, занятых преимущественно оказанием научно-технических услуг другим организациям или иными видами деятельности, не связанными с научными исследованиями и разработками.</w:t>
      </w:r>
    </w:p>
    <w:p w:rsidR="00327787" w:rsidRDefault="00327787">
      <w:pPr>
        <w:pStyle w:val="snoski"/>
      </w:pPr>
      <w:r>
        <w:t>** Термин «государственный грант на науку» используется в значении, определенном в Инструкции о механизме и формах предоставления средств республиканского бюджета, предусмотренных на научную и научно-техническую деятельность, утвержденной постановлением Министерства финансов Республики Беларусь, Национальной академии наук Беларуси и Государственного комитета по науке и технологиям Республики Беларусь от 23 октября 2012 г. № 57/5/9.</w:t>
      </w:r>
    </w:p>
    <w:p w:rsidR="00327787" w:rsidRDefault="00327787">
      <w:pPr>
        <w:pStyle w:val="snoski"/>
        <w:spacing w:after="240"/>
      </w:pPr>
      <w:r>
        <w:t>*** Применяют юридические лица, которые являются респондентами государственной статистической отчетности по форме государственной статистической отчетности 1-нт (инновация) «Отчет об инновационной деятельности организации», утвержденной постановлением Национального статистического комитета Республики Беларусь от 3 сентября 2021 г. № 76.</w:t>
      </w:r>
    </w:p>
    <w:p w:rsidR="00327787" w:rsidRDefault="00327787">
      <w:pPr>
        <w:pStyle w:val="newncpi"/>
      </w:pPr>
      <w:r>
        <w:t> </w:t>
      </w:r>
    </w:p>
    <w:p w:rsidR="00327787" w:rsidRDefault="00327787">
      <w:pPr>
        <w:rPr>
          <w:rFonts w:eastAsia="Times New Roman"/>
        </w:rPr>
        <w:sectPr w:rsidR="00327787" w:rsidSect="00327787">
          <w:pgSz w:w="11920" w:h="16838"/>
          <w:pgMar w:top="567" w:right="1134" w:bottom="567" w:left="1417" w:header="280" w:footer="0" w:gutter="0"/>
          <w:cols w:space="720"/>
          <w:docGrid w:linePitch="408"/>
        </w:sectPr>
      </w:pPr>
    </w:p>
    <w:p w:rsidR="00327787" w:rsidRDefault="00327787">
      <w:pPr>
        <w:pStyle w:val="newncpi"/>
      </w:pPr>
      <w:r>
        <w:lastRenderedPageBreak/>
        <w:t> </w:t>
      </w:r>
    </w:p>
    <w:p w:rsidR="00327787" w:rsidRDefault="00327787">
      <w:pPr>
        <w:pStyle w:val="newncpi"/>
      </w:pPr>
      <w:r>
        <w:t> </w:t>
      </w:r>
    </w:p>
    <w:tbl>
      <w:tblPr>
        <w:tblW w:w="5000" w:type="pct"/>
        <w:tblCellMar>
          <w:left w:w="0" w:type="dxa"/>
          <w:right w:w="0" w:type="dxa"/>
        </w:tblCellMar>
        <w:tblLook w:val="04A0" w:firstRow="1" w:lastRow="0" w:firstColumn="1" w:lastColumn="0" w:noHBand="0" w:noVBand="1"/>
      </w:tblPr>
      <w:tblGrid>
        <w:gridCol w:w="5524"/>
        <w:gridCol w:w="3845"/>
      </w:tblGrid>
      <w:tr w:rsidR="00327787">
        <w:tc>
          <w:tcPr>
            <w:tcW w:w="2948" w:type="pct"/>
            <w:tcMar>
              <w:top w:w="0" w:type="dxa"/>
              <w:left w:w="6" w:type="dxa"/>
              <w:bottom w:w="0" w:type="dxa"/>
              <w:right w:w="6" w:type="dxa"/>
            </w:tcMar>
            <w:hideMark/>
          </w:tcPr>
          <w:p w:rsidR="00327787" w:rsidRDefault="00327787">
            <w:pPr>
              <w:pStyle w:val="newncpi"/>
            </w:pPr>
            <w:r>
              <w:t> </w:t>
            </w:r>
          </w:p>
        </w:tc>
        <w:tc>
          <w:tcPr>
            <w:tcW w:w="2052" w:type="pct"/>
            <w:tcMar>
              <w:top w:w="0" w:type="dxa"/>
              <w:left w:w="6" w:type="dxa"/>
              <w:bottom w:w="0" w:type="dxa"/>
              <w:right w:w="6" w:type="dxa"/>
            </w:tcMar>
            <w:hideMark/>
          </w:tcPr>
          <w:p w:rsidR="00327787" w:rsidRDefault="00327787">
            <w:pPr>
              <w:pStyle w:val="append1"/>
            </w:pPr>
            <w:r>
              <w:t>Приложение 2</w:t>
            </w:r>
          </w:p>
          <w:p w:rsidR="00327787" w:rsidRDefault="00327787">
            <w:pPr>
              <w:pStyle w:val="append"/>
            </w:pPr>
            <w:proofErr w:type="gramStart"/>
            <w:r>
              <w:t>к</w:t>
            </w:r>
            <w:proofErr w:type="gramEnd"/>
            <w:r>
              <w:t xml:space="preserve"> Инструкции о порядке аккредитации </w:t>
            </w:r>
            <w:r>
              <w:br/>
              <w:t xml:space="preserve">научных организаций </w:t>
            </w:r>
            <w:r>
              <w:br/>
              <w:t xml:space="preserve">(в редакции постановления </w:t>
            </w:r>
            <w:r>
              <w:br/>
              <w:t xml:space="preserve">Национальной академии наук </w:t>
            </w:r>
            <w:r>
              <w:br/>
              <w:t xml:space="preserve">Беларуси, Государственного </w:t>
            </w:r>
            <w:r>
              <w:br/>
              <w:t xml:space="preserve">комитета по науке и технологиям </w:t>
            </w:r>
            <w:r>
              <w:br/>
              <w:t xml:space="preserve">Республики Беларусь </w:t>
            </w:r>
            <w:r>
              <w:br/>
              <w:t xml:space="preserve">и Высшей аттестационной </w:t>
            </w:r>
            <w:r>
              <w:br/>
              <w:t>комиссии Республики Беларусь</w:t>
            </w:r>
            <w:r>
              <w:br/>
              <w:t xml:space="preserve">27.04.2022 № 3/5/1) </w:t>
            </w:r>
          </w:p>
        </w:tc>
      </w:tr>
    </w:tbl>
    <w:p w:rsidR="00327787" w:rsidRDefault="00327787">
      <w:pPr>
        <w:pStyle w:val="newncpi"/>
      </w:pPr>
      <w:r>
        <w:t> </w:t>
      </w:r>
    </w:p>
    <w:p w:rsidR="00327787" w:rsidRDefault="00327787">
      <w:pPr>
        <w:pStyle w:val="onestring"/>
      </w:pPr>
      <w:r>
        <w:t>Форма</w:t>
      </w:r>
    </w:p>
    <w:p w:rsidR="00327787" w:rsidRDefault="00327787">
      <w:pPr>
        <w:pStyle w:val="titlep"/>
      </w:pPr>
      <w:r>
        <w:t>БЮЛЛЕТЕНЬ</w:t>
      </w:r>
      <w:r>
        <w:br/>
        <w:t>для голосования членов межведомственной комиссии</w:t>
      </w:r>
      <w:r>
        <w:br/>
        <w:t>по аккредитации научных организаций</w:t>
      </w:r>
    </w:p>
    <w:p w:rsidR="00327787" w:rsidRDefault="00327787">
      <w:pPr>
        <w:pStyle w:val="newncpi0"/>
        <w:ind w:left="7265"/>
      </w:pPr>
      <w:r>
        <w:t>_________________</w:t>
      </w:r>
    </w:p>
    <w:p w:rsidR="00327787" w:rsidRDefault="00327787">
      <w:pPr>
        <w:pStyle w:val="undline"/>
        <w:ind w:left="7265"/>
        <w:jc w:val="center"/>
      </w:pPr>
      <w:r>
        <w:t>(</w:t>
      </w:r>
      <w:proofErr w:type="gramStart"/>
      <w:r>
        <w:t>дата</w:t>
      </w:r>
      <w:proofErr w:type="gramEnd"/>
      <w:r>
        <w:t>)</w:t>
      </w:r>
    </w:p>
    <w:p w:rsidR="00327787" w:rsidRDefault="00327787">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49"/>
        <w:gridCol w:w="2549"/>
        <w:gridCol w:w="2561"/>
      </w:tblGrid>
      <w:tr w:rsidR="00327787">
        <w:trPr>
          <w:trHeight w:val="240"/>
        </w:trPr>
        <w:tc>
          <w:tcPr>
            <w:tcW w:w="2270" w:type="pct"/>
            <w:tcBorders>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Наименование заявителя</w:t>
            </w:r>
          </w:p>
        </w:tc>
        <w:tc>
          <w:tcPr>
            <w:tcW w:w="2730" w:type="pct"/>
            <w:gridSpan w:val="2"/>
            <w:tcBorders>
              <w:left w:val="single" w:sz="4" w:space="0" w:color="auto"/>
              <w:bottom w:val="single" w:sz="4" w:space="0" w:color="auto"/>
            </w:tcBorders>
            <w:tcMar>
              <w:top w:w="0" w:type="dxa"/>
              <w:left w:w="6" w:type="dxa"/>
              <w:bottom w:w="0" w:type="dxa"/>
              <w:right w:w="6" w:type="dxa"/>
            </w:tcMar>
            <w:vAlign w:val="center"/>
            <w:hideMark/>
          </w:tcPr>
          <w:p w:rsidR="00327787" w:rsidRDefault="00327787">
            <w:pPr>
              <w:pStyle w:val="table10"/>
              <w:jc w:val="center"/>
            </w:pPr>
            <w:r>
              <w:t xml:space="preserve">Результат </w:t>
            </w:r>
            <w:proofErr w:type="gramStart"/>
            <w:r>
              <w:t>голосования</w:t>
            </w:r>
            <w:r>
              <w:br/>
              <w:t>(</w:t>
            </w:r>
            <w:proofErr w:type="gramEnd"/>
            <w:r>
              <w:t>напротив одного из вариантов поставить любой знак)</w:t>
            </w:r>
          </w:p>
        </w:tc>
      </w:tr>
      <w:tr w:rsidR="00327787">
        <w:trPr>
          <w:trHeight w:val="240"/>
        </w:trPr>
        <w:tc>
          <w:tcPr>
            <w:tcW w:w="2270"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327787" w:rsidRDefault="00327787">
            <w:pPr>
              <w:pStyle w:val="table10"/>
            </w:pPr>
            <w:r>
              <w:t> </w:t>
            </w:r>
          </w:p>
        </w:tc>
        <w:tc>
          <w:tcPr>
            <w:tcW w:w="1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27787" w:rsidRDefault="00327787">
            <w:pPr>
              <w:pStyle w:val="table10"/>
            </w:pPr>
            <w:proofErr w:type="gramStart"/>
            <w:r>
              <w:t>аккредитовать</w:t>
            </w:r>
            <w:proofErr w:type="gramEnd"/>
          </w:p>
        </w:tc>
        <w:tc>
          <w:tcPr>
            <w:tcW w:w="1368" w:type="pct"/>
            <w:tcBorders>
              <w:top w:val="single" w:sz="4" w:space="0" w:color="auto"/>
              <w:left w:val="single" w:sz="4" w:space="0" w:color="auto"/>
              <w:bottom w:val="single" w:sz="4" w:space="0" w:color="auto"/>
            </w:tcBorders>
            <w:tcMar>
              <w:top w:w="0" w:type="dxa"/>
              <w:left w:w="6" w:type="dxa"/>
              <w:bottom w:w="0" w:type="dxa"/>
              <w:right w:w="6" w:type="dxa"/>
            </w:tcMar>
            <w:hideMark/>
          </w:tcPr>
          <w:p w:rsidR="00327787" w:rsidRDefault="00327787">
            <w:pPr>
              <w:pStyle w:val="table10"/>
            </w:pPr>
            <w:r>
              <w:t> </w:t>
            </w:r>
          </w:p>
        </w:tc>
      </w:tr>
      <w:tr w:rsidR="00327787">
        <w:trPr>
          <w:trHeight w:val="240"/>
        </w:trPr>
        <w:tc>
          <w:tcPr>
            <w:tcW w:w="0" w:type="auto"/>
            <w:vMerge/>
            <w:tcBorders>
              <w:top w:val="single" w:sz="4" w:space="0" w:color="auto"/>
              <w:bottom w:val="single" w:sz="4" w:space="0" w:color="auto"/>
              <w:right w:val="single" w:sz="4" w:space="0" w:color="auto"/>
            </w:tcBorders>
            <w:vAlign w:val="center"/>
            <w:hideMark/>
          </w:tcPr>
          <w:p w:rsidR="00327787" w:rsidRDefault="00327787">
            <w:pPr>
              <w:rPr>
                <w:rFonts w:eastAsiaTheme="minorEastAsia"/>
                <w:sz w:val="20"/>
                <w:szCs w:val="20"/>
              </w:rPr>
            </w:pPr>
          </w:p>
        </w:tc>
        <w:tc>
          <w:tcPr>
            <w:tcW w:w="1362" w:type="pct"/>
            <w:tcBorders>
              <w:top w:val="single" w:sz="4" w:space="0" w:color="auto"/>
              <w:left w:val="single" w:sz="4" w:space="0" w:color="auto"/>
              <w:right w:val="single" w:sz="4" w:space="0" w:color="auto"/>
            </w:tcBorders>
            <w:tcMar>
              <w:top w:w="0" w:type="dxa"/>
              <w:left w:w="6" w:type="dxa"/>
              <w:bottom w:w="0" w:type="dxa"/>
              <w:right w:w="6" w:type="dxa"/>
            </w:tcMar>
            <w:hideMark/>
          </w:tcPr>
          <w:p w:rsidR="00327787" w:rsidRDefault="00327787">
            <w:pPr>
              <w:pStyle w:val="table10"/>
            </w:pPr>
            <w:proofErr w:type="gramStart"/>
            <w:r>
              <w:t>не</w:t>
            </w:r>
            <w:proofErr w:type="gramEnd"/>
            <w:r>
              <w:t xml:space="preserve"> аккредитовать</w:t>
            </w:r>
          </w:p>
        </w:tc>
        <w:tc>
          <w:tcPr>
            <w:tcW w:w="1368" w:type="pct"/>
            <w:tcBorders>
              <w:top w:val="single" w:sz="4" w:space="0" w:color="auto"/>
              <w:left w:val="single" w:sz="4" w:space="0" w:color="auto"/>
            </w:tcBorders>
            <w:tcMar>
              <w:top w:w="0" w:type="dxa"/>
              <w:left w:w="6" w:type="dxa"/>
              <w:bottom w:w="0" w:type="dxa"/>
              <w:right w:w="6" w:type="dxa"/>
            </w:tcMar>
            <w:hideMark/>
          </w:tcPr>
          <w:p w:rsidR="00327787" w:rsidRDefault="00327787">
            <w:pPr>
              <w:pStyle w:val="table10"/>
            </w:pPr>
            <w:r>
              <w:t> </w:t>
            </w:r>
          </w:p>
        </w:tc>
      </w:tr>
    </w:tbl>
    <w:p w:rsidR="00327787" w:rsidRDefault="00327787">
      <w:pPr>
        <w:pStyle w:val="newncpi"/>
      </w:pPr>
      <w:r>
        <w:t> </w:t>
      </w:r>
    </w:p>
    <w:p w:rsidR="00327787" w:rsidRDefault="00327787">
      <w:pPr>
        <w:pStyle w:val="newncpi"/>
      </w:pPr>
      <w:r>
        <w:t> </w:t>
      </w:r>
    </w:p>
    <w:tbl>
      <w:tblPr>
        <w:tblW w:w="5000" w:type="pct"/>
        <w:tblCellMar>
          <w:left w:w="0" w:type="dxa"/>
          <w:right w:w="0" w:type="dxa"/>
        </w:tblCellMar>
        <w:tblLook w:val="04A0" w:firstRow="1" w:lastRow="0" w:firstColumn="1" w:lastColumn="0" w:noHBand="0" w:noVBand="1"/>
      </w:tblPr>
      <w:tblGrid>
        <w:gridCol w:w="5524"/>
        <w:gridCol w:w="3845"/>
      </w:tblGrid>
      <w:tr w:rsidR="00327787">
        <w:tc>
          <w:tcPr>
            <w:tcW w:w="2948" w:type="pct"/>
            <w:tcMar>
              <w:top w:w="0" w:type="dxa"/>
              <w:left w:w="6" w:type="dxa"/>
              <w:bottom w:w="0" w:type="dxa"/>
              <w:right w:w="6" w:type="dxa"/>
            </w:tcMar>
            <w:hideMark/>
          </w:tcPr>
          <w:p w:rsidR="00327787" w:rsidRDefault="00327787">
            <w:pPr>
              <w:pStyle w:val="newncpi"/>
            </w:pPr>
            <w:r>
              <w:t> </w:t>
            </w:r>
          </w:p>
        </w:tc>
        <w:tc>
          <w:tcPr>
            <w:tcW w:w="2052" w:type="pct"/>
            <w:tcMar>
              <w:top w:w="0" w:type="dxa"/>
              <w:left w:w="6" w:type="dxa"/>
              <w:bottom w:w="0" w:type="dxa"/>
              <w:right w:w="6" w:type="dxa"/>
            </w:tcMar>
            <w:hideMark/>
          </w:tcPr>
          <w:p w:rsidR="00327787" w:rsidRDefault="00327787">
            <w:pPr>
              <w:pStyle w:val="append1"/>
            </w:pPr>
            <w:r>
              <w:t>Приложение 3</w:t>
            </w:r>
          </w:p>
          <w:p w:rsidR="00327787" w:rsidRDefault="00327787">
            <w:pPr>
              <w:pStyle w:val="append"/>
            </w:pPr>
            <w:proofErr w:type="gramStart"/>
            <w:r>
              <w:t>к</w:t>
            </w:r>
            <w:proofErr w:type="gramEnd"/>
            <w:r>
              <w:t xml:space="preserve"> Инструкции о порядке аккредитации </w:t>
            </w:r>
            <w:r>
              <w:br/>
              <w:t xml:space="preserve">научных организаций </w:t>
            </w:r>
            <w:r>
              <w:br/>
              <w:t xml:space="preserve">(в редакции постановления </w:t>
            </w:r>
            <w:r>
              <w:br/>
              <w:t xml:space="preserve">Национальной академии наук </w:t>
            </w:r>
            <w:r>
              <w:br/>
              <w:t xml:space="preserve">Беларуси, Государственного </w:t>
            </w:r>
            <w:r>
              <w:br/>
              <w:t xml:space="preserve">комитета по науке и технологиям </w:t>
            </w:r>
            <w:r>
              <w:br/>
              <w:t xml:space="preserve">Республики Беларусь </w:t>
            </w:r>
            <w:r>
              <w:br/>
              <w:t xml:space="preserve">и Высшей аттестационной </w:t>
            </w:r>
            <w:r>
              <w:br/>
              <w:t>комиссии Республики Беларусь</w:t>
            </w:r>
            <w:r>
              <w:br/>
              <w:t xml:space="preserve">27.04.2022 № 3/5/1) </w:t>
            </w:r>
          </w:p>
        </w:tc>
      </w:tr>
    </w:tbl>
    <w:p w:rsidR="00327787" w:rsidRDefault="00327787">
      <w:pPr>
        <w:pStyle w:val="newncpi"/>
      </w:pPr>
      <w:r>
        <w:t> </w:t>
      </w:r>
    </w:p>
    <w:p w:rsidR="00327787" w:rsidRDefault="00327787">
      <w:pPr>
        <w:pStyle w:val="onestring"/>
      </w:pPr>
      <w:r>
        <w:t>Форма</w:t>
      </w:r>
    </w:p>
    <w:p w:rsidR="00327787" w:rsidRDefault="00327787">
      <w:pPr>
        <w:pStyle w:val="newncpi"/>
      </w:pPr>
      <w:r>
        <w:t> </w:t>
      </w:r>
    </w:p>
    <w:p w:rsidR="00327787" w:rsidRDefault="00327787">
      <w:pPr>
        <w:pStyle w:val="newncpi0"/>
        <w:jc w:val="center"/>
      </w:pPr>
      <w:r>
        <w:t xml:space="preserve">ГОСУДАРСТВЕННЫЙ КОМИТЕТ ПО НАУКЕ И ТЕХНОЛОГИЯМ </w:t>
      </w:r>
      <w:r>
        <w:br/>
        <w:t>РЕСПУБЛИКИ БЕЛАРУСЬ</w:t>
      </w:r>
    </w:p>
    <w:p w:rsidR="00327787" w:rsidRDefault="00327787">
      <w:pPr>
        <w:pStyle w:val="newncpi0"/>
        <w:jc w:val="center"/>
      </w:pPr>
      <w:r>
        <w:t>НАЦИОНАЛЬНАЯ АКАДЕМИЯ НАУК БЕЛАРУСИ</w:t>
      </w:r>
    </w:p>
    <w:p w:rsidR="00327787" w:rsidRDefault="00327787">
      <w:pPr>
        <w:pStyle w:val="titlep"/>
      </w:pPr>
      <w:r>
        <w:t>СВИДЕТЕЛЬСТВО</w:t>
      </w:r>
      <w:r>
        <w:br/>
        <w:t>об аккредитации научной организации</w:t>
      </w:r>
    </w:p>
    <w:tbl>
      <w:tblPr>
        <w:tblW w:w="5000" w:type="pct"/>
        <w:tblCellMar>
          <w:left w:w="0" w:type="dxa"/>
          <w:right w:w="0" w:type="dxa"/>
        </w:tblCellMar>
        <w:tblLook w:val="04A0" w:firstRow="1" w:lastRow="0" w:firstColumn="1" w:lastColumn="0" w:noHBand="0" w:noVBand="1"/>
      </w:tblPr>
      <w:tblGrid>
        <w:gridCol w:w="4684"/>
        <w:gridCol w:w="4685"/>
      </w:tblGrid>
      <w:tr w:rsidR="00327787">
        <w:trPr>
          <w:trHeight w:val="240"/>
        </w:trPr>
        <w:tc>
          <w:tcPr>
            <w:tcW w:w="2500" w:type="pct"/>
            <w:tcMar>
              <w:top w:w="0" w:type="dxa"/>
              <w:left w:w="6" w:type="dxa"/>
              <w:bottom w:w="0" w:type="dxa"/>
              <w:right w:w="6" w:type="dxa"/>
            </w:tcMar>
            <w:hideMark/>
          </w:tcPr>
          <w:p w:rsidR="00327787" w:rsidRDefault="00327787">
            <w:pPr>
              <w:pStyle w:val="newncpi0"/>
            </w:pPr>
            <w:r>
              <w:t>__ __________ 20__ г.</w:t>
            </w:r>
          </w:p>
        </w:tc>
        <w:tc>
          <w:tcPr>
            <w:tcW w:w="2500" w:type="pct"/>
            <w:tcMar>
              <w:top w:w="0" w:type="dxa"/>
              <w:left w:w="6" w:type="dxa"/>
              <w:bottom w:w="0" w:type="dxa"/>
              <w:right w:w="6" w:type="dxa"/>
            </w:tcMar>
            <w:vAlign w:val="bottom"/>
            <w:hideMark/>
          </w:tcPr>
          <w:p w:rsidR="00327787" w:rsidRDefault="00327787">
            <w:pPr>
              <w:pStyle w:val="newncpi0"/>
              <w:jc w:val="right"/>
            </w:pPr>
            <w:r>
              <w:t>№ ___________________</w:t>
            </w:r>
          </w:p>
        </w:tc>
      </w:tr>
    </w:tbl>
    <w:p w:rsidR="00327787" w:rsidRDefault="00327787">
      <w:pPr>
        <w:pStyle w:val="newncpi"/>
      </w:pPr>
      <w:r>
        <w:t> </w:t>
      </w:r>
    </w:p>
    <w:p w:rsidR="00327787" w:rsidRDefault="00327787">
      <w:pPr>
        <w:pStyle w:val="newncpi0"/>
      </w:pPr>
      <w:r>
        <w:t>Настоящее свидетельство выдано ________________________________________________</w:t>
      </w:r>
    </w:p>
    <w:p w:rsidR="00327787" w:rsidRDefault="00327787">
      <w:pPr>
        <w:pStyle w:val="undline"/>
        <w:ind w:left="3486"/>
        <w:jc w:val="center"/>
      </w:pPr>
      <w:r>
        <w:t>(</w:t>
      </w:r>
      <w:proofErr w:type="gramStart"/>
      <w:r>
        <w:t>полное</w:t>
      </w:r>
      <w:proofErr w:type="gramEnd"/>
      <w:r>
        <w:t xml:space="preserve"> наименование научной организации, </w:t>
      </w:r>
    </w:p>
    <w:p w:rsidR="00327787" w:rsidRDefault="00327787">
      <w:pPr>
        <w:pStyle w:val="newncpi0"/>
      </w:pPr>
      <w:r>
        <w:t>_____________________________________________________________________________</w:t>
      </w:r>
    </w:p>
    <w:p w:rsidR="00327787" w:rsidRDefault="00327787">
      <w:pPr>
        <w:pStyle w:val="undline"/>
        <w:jc w:val="center"/>
      </w:pPr>
      <w:proofErr w:type="gramStart"/>
      <w:r>
        <w:t>ее</w:t>
      </w:r>
      <w:proofErr w:type="gramEnd"/>
      <w:r>
        <w:t xml:space="preserve"> место нахождения)</w:t>
      </w:r>
    </w:p>
    <w:p w:rsidR="00327787" w:rsidRDefault="00327787">
      <w:pPr>
        <w:pStyle w:val="newncpi0"/>
      </w:pPr>
      <w:proofErr w:type="gramStart"/>
      <w:r>
        <w:t>в</w:t>
      </w:r>
      <w:proofErr w:type="gramEnd"/>
      <w:r>
        <w:t xml:space="preserve"> том, что научная организация прошла аккредитацию в Национальной академии наук Беларуси и Государственном комитете по науке и технологиям Республики Беларусь.</w:t>
      </w:r>
    </w:p>
    <w:p w:rsidR="00327787" w:rsidRDefault="00327787">
      <w:pPr>
        <w:pStyle w:val="newncpi"/>
      </w:pPr>
      <w:r>
        <w:t>Основание: заключение межведомственной комиссии по аккредитации научных организаций от __ ___________ 20__ г. № _____________</w:t>
      </w:r>
    </w:p>
    <w:p w:rsidR="00327787" w:rsidRDefault="00327787">
      <w:pPr>
        <w:pStyle w:val="newncpi"/>
      </w:pPr>
      <w:r>
        <w:lastRenderedPageBreak/>
        <w:t> </w:t>
      </w:r>
    </w:p>
    <w:p w:rsidR="00327787" w:rsidRDefault="00327787">
      <w:pPr>
        <w:pStyle w:val="newncpi0"/>
      </w:pPr>
      <w:r>
        <w:t>Действительно до ___ ___________ 20__ г. включительно.</w:t>
      </w:r>
    </w:p>
    <w:p w:rsidR="00327787" w:rsidRDefault="00327787">
      <w:pPr>
        <w:pStyle w:val="newncpi"/>
      </w:pPr>
      <w:r>
        <w:t> </w:t>
      </w:r>
    </w:p>
    <w:tbl>
      <w:tblPr>
        <w:tblW w:w="5000" w:type="pct"/>
        <w:tblCellMar>
          <w:left w:w="0" w:type="dxa"/>
          <w:right w:w="0" w:type="dxa"/>
        </w:tblCellMar>
        <w:tblLook w:val="04A0" w:firstRow="1" w:lastRow="0" w:firstColumn="1" w:lastColumn="0" w:noHBand="0" w:noVBand="1"/>
      </w:tblPr>
      <w:tblGrid>
        <w:gridCol w:w="1582"/>
        <w:gridCol w:w="279"/>
        <w:gridCol w:w="2310"/>
        <w:gridCol w:w="1164"/>
        <w:gridCol w:w="1495"/>
        <w:gridCol w:w="264"/>
        <w:gridCol w:w="2275"/>
      </w:tblGrid>
      <w:tr w:rsidR="00327787">
        <w:trPr>
          <w:trHeight w:val="238"/>
        </w:trPr>
        <w:tc>
          <w:tcPr>
            <w:tcW w:w="2226" w:type="pct"/>
            <w:gridSpan w:val="3"/>
            <w:tcMar>
              <w:top w:w="0" w:type="dxa"/>
              <w:left w:w="6" w:type="dxa"/>
              <w:bottom w:w="0" w:type="dxa"/>
              <w:right w:w="6" w:type="dxa"/>
            </w:tcMar>
            <w:hideMark/>
          </w:tcPr>
          <w:p w:rsidR="00327787" w:rsidRDefault="00327787">
            <w:pPr>
              <w:pStyle w:val="newncpi0"/>
              <w:jc w:val="left"/>
            </w:pPr>
            <w:r>
              <w:t xml:space="preserve">Председатель Государственного </w:t>
            </w:r>
            <w:r>
              <w:br/>
              <w:t xml:space="preserve">комитета по науке и технологиям </w:t>
            </w:r>
            <w:r>
              <w:br/>
              <w:t>Республики Беларусь</w:t>
            </w:r>
          </w:p>
        </w:tc>
        <w:tc>
          <w:tcPr>
            <w:tcW w:w="621" w:type="pct"/>
            <w:tcMar>
              <w:top w:w="0" w:type="dxa"/>
              <w:left w:w="6" w:type="dxa"/>
              <w:bottom w:w="0" w:type="dxa"/>
              <w:right w:w="6" w:type="dxa"/>
            </w:tcMar>
            <w:hideMark/>
          </w:tcPr>
          <w:p w:rsidR="00327787" w:rsidRDefault="00327787">
            <w:pPr>
              <w:pStyle w:val="newncpi0"/>
            </w:pPr>
            <w:r>
              <w:t> </w:t>
            </w:r>
          </w:p>
        </w:tc>
        <w:tc>
          <w:tcPr>
            <w:tcW w:w="2153" w:type="pct"/>
            <w:gridSpan w:val="3"/>
            <w:tcMar>
              <w:top w:w="0" w:type="dxa"/>
              <w:left w:w="6" w:type="dxa"/>
              <w:bottom w:w="0" w:type="dxa"/>
              <w:right w:w="6" w:type="dxa"/>
            </w:tcMar>
            <w:hideMark/>
          </w:tcPr>
          <w:p w:rsidR="00327787" w:rsidRDefault="00327787">
            <w:pPr>
              <w:pStyle w:val="newncpi0"/>
              <w:jc w:val="left"/>
            </w:pPr>
            <w:r>
              <w:t xml:space="preserve">Председатель Президиума </w:t>
            </w:r>
            <w:r>
              <w:br/>
              <w:t xml:space="preserve">Национальной академии </w:t>
            </w:r>
            <w:r>
              <w:br/>
              <w:t>наук Беларуси</w:t>
            </w:r>
          </w:p>
        </w:tc>
      </w:tr>
      <w:tr w:rsidR="00327787">
        <w:trPr>
          <w:trHeight w:val="238"/>
        </w:trPr>
        <w:tc>
          <w:tcPr>
            <w:tcW w:w="844" w:type="pct"/>
            <w:tcBorders>
              <w:bottom w:val="single" w:sz="4" w:space="0" w:color="auto"/>
            </w:tcBorders>
            <w:tcMar>
              <w:top w:w="0" w:type="dxa"/>
              <w:left w:w="6" w:type="dxa"/>
              <w:bottom w:w="0" w:type="dxa"/>
              <w:right w:w="6" w:type="dxa"/>
            </w:tcMar>
            <w:hideMark/>
          </w:tcPr>
          <w:p w:rsidR="00327787" w:rsidRDefault="00327787">
            <w:pPr>
              <w:pStyle w:val="table10"/>
            </w:pPr>
            <w:r>
              <w:t> </w:t>
            </w:r>
          </w:p>
        </w:tc>
        <w:tc>
          <w:tcPr>
            <w:tcW w:w="149" w:type="pct"/>
            <w:tcMar>
              <w:top w:w="0" w:type="dxa"/>
              <w:left w:w="6" w:type="dxa"/>
              <w:bottom w:w="0" w:type="dxa"/>
              <w:right w:w="6" w:type="dxa"/>
            </w:tcMar>
            <w:hideMark/>
          </w:tcPr>
          <w:p w:rsidR="00327787" w:rsidRDefault="00327787">
            <w:pPr>
              <w:pStyle w:val="table10"/>
            </w:pPr>
            <w:r>
              <w:t> </w:t>
            </w:r>
          </w:p>
        </w:tc>
        <w:tc>
          <w:tcPr>
            <w:tcW w:w="1233" w:type="pct"/>
            <w:tcBorders>
              <w:bottom w:val="single" w:sz="4" w:space="0" w:color="auto"/>
            </w:tcBorders>
            <w:tcMar>
              <w:top w:w="0" w:type="dxa"/>
              <w:left w:w="6" w:type="dxa"/>
              <w:bottom w:w="0" w:type="dxa"/>
              <w:right w:w="6" w:type="dxa"/>
            </w:tcMar>
            <w:hideMark/>
          </w:tcPr>
          <w:p w:rsidR="00327787" w:rsidRDefault="00327787">
            <w:pPr>
              <w:pStyle w:val="table10"/>
            </w:pPr>
            <w:r>
              <w:t> </w:t>
            </w:r>
          </w:p>
        </w:tc>
        <w:tc>
          <w:tcPr>
            <w:tcW w:w="621" w:type="pct"/>
            <w:tcMar>
              <w:top w:w="0" w:type="dxa"/>
              <w:left w:w="6" w:type="dxa"/>
              <w:bottom w:w="0" w:type="dxa"/>
              <w:right w:w="6" w:type="dxa"/>
            </w:tcMar>
            <w:hideMark/>
          </w:tcPr>
          <w:p w:rsidR="00327787" w:rsidRDefault="00327787">
            <w:pPr>
              <w:pStyle w:val="table10"/>
            </w:pPr>
            <w:r>
              <w:t> </w:t>
            </w:r>
          </w:p>
        </w:tc>
        <w:tc>
          <w:tcPr>
            <w:tcW w:w="798" w:type="pct"/>
            <w:tcBorders>
              <w:bottom w:val="single" w:sz="4" w:space="0" w:color="auto"/>
            </w:tcBorders>
            <w:tcMar>
              <w:top w:w="0" w:type="dxa"/>
              <w:left w:w="6" w:type="dxa"/>
              <w:bottom w:w="0" w:type="dxa"/>
              <w:right w:w="6" w:type="dxa"/>
            </w:tcMar>
            <w:hideMark/>
          </w:tcPr>
          <w:p w:rsidR="00327787" w:rsidRDefault="00327787">
            <w:pPr>
              <w:pStyle w:val="table10"/>
            </w:pPr>
            <w:r>
              <w:t> </w:t>
            </w:r>
          </w:p>
        </w:tc>
        <w:tc>
          <w:tcPr>
            <w:tcW w:w="141" w:type="pct"/>
            <w:tcMar>
              <w:top w:w="0" w:type="dxa"/>
              <w:left w:w="6" w:type="dxa"/>
              <w:bottom w:w="0" w:type="dxa"/>
              <w:right w:w="6" w:type="dxa"/>
            </w:tcMar>
            <w:hideMark/>
          </w:tcPr>
          <w:p w:rsidR="00327787" w:rsidRDefault="00327787">
            <w:pPr>
              <w:pStyle w:val="table10"/>
            </w:pPr>
            <w:r>
              <w:t> </w:t>
            </w:r>
          </w:p>
        </w:tc>
        <w:tc>
          <w:tcPr>
            <w:tcW w:w="1214" w:type="pct"/>
            <w:tcBorders>
              <w:bottom w:val="single" w:sz="4" w:space="0" w:color="auto"/>
            </w:tcBorders>
            <w:tcMar>
              <w:top w:w="0" w:type="dxa"/>
              <w:left w:w="6" w:type="dxa"/>
              <w:bottom w:w="0" w:type="dxa"/>
              <w:right w:w="6" w:type="dxa"/>
            </w:tcMar>
            <w:hideMark/>
          </w:tcPr>
          <w:p w:rsidR="00327787" w:rsidRDefault="00327787">
            <w:pPr>
              <w:pStyle w:val="table10"/>
            </w:pPr>
            <w:r>
              <w:t> </w:t>
            </w:r>
          </w:p>
        </w:tc>
      </w:tr>
      <w:tr w:rsidR="00327787">
        <w:trPr>
          <w:trHeight w:val="238"/>
        </w:trPr>
        <w:tc>
          <w:tcPr>
            <w:tcW w:w="844" w:type="pct"/>
            <w:tcBorders>
              <w:top w:val="single" w:sz="4" w:space="0" w:color="auto"/>
            </w:tcBorders>
            <w:tcMar>
              <w:top w:w="0" w:type="dxa"/>
              <w:left w:w="6" w:type="dxa"/>
              <w:bottom w:w="0" w:type="dxa"/>
              <w:right w:w="6" w:type="dxa"/>
            </w:tcMar>
            <w:hideMark/>
          </w:tcPr>
          <w:p w:rsidR="00327787" w:rsidRDefault="00327787">
            <w:pPr>
              <w:pStyle w:val="undline"/>
              <w:jc w:val="center"/>
            </w:pPr>
            <w:r>
              <w:t>(</w:t>
            </w:r>
            <w:proofErr w:type="gramStart"/>
            <w:r>
              <w:t>подпись</w:t>
            </w:r>
            <w:proofErr w:type="gramEnd"/>
            <w:r>
              <w:t>)</w:t>
            </w:r>
          </w:p>
        </w:tc>
        <w:tc>
          <w:tcPr>
            <w:tcW w:w="149" w:type="pct"/>
            <w:tcMar>
              <w:top w:w="0" w:type="dxa"/>
              <w:left w:w="6" w:type="dxa"/>
              <w:bottom w:w="0" w:type="dxa"/>
              <w:right w:w="6" w:type="dxa"/>
            </w:tcMar>
            <w:hideMark/>
          </w:tcPr>
          <w:p w:rsidR="00327787" w:rsidRDefault="00327787">
            <w:pPr>
              <w:pStyle w:val="table10"/>
              <w:jc w:val="center"/>
            </w:pPr>
            <w:r>
              <w:t> </w:t>
            </w:r>
          </w:p>
        </w:tc>
        <w:tc>
          <w:tcPr>
            <w:tcW w:w="1233" w:type="pct"/>
            <w:tcBorders>
              <w:top w:val="single" w:sz="4" w:space="0" w:color="auto"/>
            </w:tcBorders>
            <w:tcMar>
              <w:top w:w="0" w:type="dxa"/>
              <w:left w:w="6" w:type="dxa"/>
              <w:bottom w:w="0" w:type="dxa"/>
              <w:right w:w="6" w:type="dxa"/>
            </w:tcMar>
            <w:hideMark/>
          </w:tcPr>
          <w:p w:rsidR="00327787" w:rsidRDefault="00327787">
            <w:pPr>
              <w:pStyle w:val="undline"/>
              <w:jc w:val="center"/>
            </w:pPr>
            <w:r>
              <w:t>(</w:t>
            </w:r>
            <w:proofErr w:type="gramStart"/>
            <w:r>
              <w:t>инициалы</w:t>
            </w:r>
            <w:proofErr w:type="gramEnd"/>
            <w:r>
              <w:t>, фамилия)</w:t>
            </w:r>
          </w:p>
        </w:tc>
        <w:tc>
          <w:tcPr>
            <w:tcW w:w="621" w:type="pct"/>
            <w:tcMar>
              <w:top w:w="0" w:type="dxa"/>
              <w:left w:w="6" w:type="dxa"/>
              <w:bottom w:w="0" w:type="dxa"/>
              <w:right w:w="6" w:type="dxa"/>
            </w:tcMar>
            <w:hideMark/>
          </w:tcPr>
          <w:p w:rsidR="00327787" w:rsidRDefault="00327787">
            <w:pPr>
              <w:pStyle w:val="table10"/>
              <w:jc w:val="center"/>
            </w:pPr>
            <w:r>
              <w:t> </w:t>
            </w:r>
          </w:p>
        </w:tc>
        <w:tc>
          <w:tcPr>
            <w:tcW w:w="798" w:type="pct"/>
            <w:tcBorders>
              <w:top w:val="single" w:sz="4" w:space="0" w:color="auto"/>
            </w:tcBorders>
            <w:tcMar>
              <w:top w:w="0" w:type="dxa"/>
              <w:left w:w="6" w:type="dxa"/>
              <w:bottom w:w="0" w:type="dxa"/>
              <w:right w:w="6" w:type="dxa"/>
            </w:tcMar>
            <w:hideMark/>
          </w:tcPr>
          <w:p w:rsidR="00327787" w:rsidRDefault="00327787">
            <w:pPr>
              <w:pStyle w:val="undline"/>
              <w:jc w:val="center"/>
            </w:pPr>
            <w:r>
              <w:t>(</w:t>
            </w:r>
            <w:proofErr w:type="gramStart"/>
            <w:r>
              <w:t>подпись</w:t>
            </w:r>
            <w:proofErr w:type="gramEnd"/>
            <w:r>
              <w:t>)</w:t>
            </w:r>
          </w:p>
        </w:tc>
        <w:tc>
          <w:tcPr>
            <w:tcW w:w="141" w:type="pct"/>
            <w:tcMar>
              <w:top w:w="0" w:type="dxa"/>
              <w:left w:w="6" w:type="dxa"/>
              <w:bottom w:w="0" w:type="dxa"/>
              <w:right w:w="6" w:type="dxa"/>
            </w:tcMar>
            <w:hideMark/>
          </w:tcPr>
          <w:p w:rsidR="00327787" w:rsidRDefault="00327787">
            <w:pPr>
              <w:pStyle w:val="table10"/>
              <w:jc w:val="center"/>
            </w:pPr>
            <w:r>
              <w:t> </w:t>
            </w:r>
          </w:p>
        </w:tc>
        <w:tc>
          <w:tcPr>
            <w:tcW w:w="1214" w:type="pct"/>
            <w:tcBorders>
              <w:top w:val="single" w:sz="4" w:space="0" w:color="auto"/>
            </w:tcBorders>
            <w:tcMar>
              <w:top w:w="0" w:type="dxa"/>
              <w:left w:w="6" w:type="dxa"/>
              <w:bottom w:w="0" w:type="dxa"/>
              <w:right w:w="6" w:type="dxa"/>
            </w:tcMar>
            <w:hideMark/>
          </w:tcPr>
          <w:p w:rsidR="00327787" w:rsidRDefault="00327787">
            <w:pPr>
              <w:pStyle w:val="undline"/>
              <w:jc w:val="center"/>
            </w:pPr>
            <w:r>
              <w:t>(</w:t>
            </w:r>
            <w:proofErr w:type="gramStart"/>
            <w:r>
              <w:t>инициалы</w:t>
            </w:r>
            <w:proofErr w:type="gramEnd"/>
            <w:r>
              <w:t>, фамилия)</w:t>
            </w:r>
          </w:p>
        </w:tc>
      </w:tr>
    </w:tbl>
    <w:p w:rsidR="00327787" w:rsidRDefault="00327787">
      <w:pPr>
        <w:pStyle w:val="newncpi"/>
      </w:pPr>
      <w:r>
        <w:t> </w:t>
      </w:r>
    </w:p>
    <w:p w:rsidR="00327787" w:rsidRDefault="00327787">
      <w:pPr>
        <w:pStyle w:val="newncpi"/>
      </w:pPr>
      <w:r>
        <w:t> </w:t>
      </w:r>
    </w:p>
    <w:tbl>
      <w:tblPr>
        <w:tblW w:w="5000" w:type="pct"/>
        <w:tblCellMar>
          <w:left w:w="0" w:type="dxa"/>
          <w:right w:w="0" w:type="dxa"/>
        </w:tblCellMar>
        <w:tblLook w:val="04A0" w:firstRow="1" w:lastRow="0" w:firstColumn="1" w:lastColumn="0" w:noHBand="0" w:noVBand="1"/>
      </w:tblPr>
      <w:tblGrid>
        <w:gridCol w:w="5524"/>
        <w:gridCol w:w="3845"/>
      </w:tblGrid>
      <w:tr w:rsidR="00327787">
        <w:tc>
          <w:tcPr>
            <w:tcW w:w="2948" w:type="pct"/>
            <w:tcMar>
              <w:top w:w="0" w:type="dxa"/>
              <w:left w:w="6" w:type="dxa"/>
              <w:bottom w:w="0" w:type="dxa"/>
              <w:right w:w="6" w:type="dxa"/>
            </w:tcMar>
            <w:hideMark/>
          </w:tcPr>
          <w:p w:rsidR="00327787" w:rsidRDefault="00327787">
            <w:pPr>
              <w:pStyle w:val="newncpi"/>
            </w:pPr>
            <w:r>
              <w:t> </w:t>
            </w:r>
          </w:p>
        </w:tc>
        <w:tc>
          <w:tcPr>
            <w:tcW w:w="2052" w:type="pct"/>
            <w:tcMar>
              <w:top w:w="0" w:type="dxa"/>
              <w:left w:w="6" w:type="dxa"/>
              <w:bottom w:w="0" w:type="dxa"/>
              <w:right w:w="6" w:type="dxa"/>
            </w:tcMar>
            <w:hideMark/>
          </w:tcPr>
          <w:p w:rsidR="00327787" w:rsidRDefault="00327787">
            <w:pPr>
              <w:pStyle w:val="append1"/>
            </w:pPr>
            <w:r>
              <w:t>Приложение 4</w:t>
            </w:r>
          </w:p>
          <w:p w:rsidR="00327787" w:rsidRDefault="00327787">
            <w:pPr>
              <w:pStyle w:val="append"/>
            </w:pPr>
            <w:proofErr w:type="gramStart"/>
            <w:r>
              <w:t>к</w:t>
            </w:r>
            <w:proofErr w:type="gramEnd"/>
            <w:r>
              <w:t xml:space="preserve"> Инструкции о порядке аккредитации </w:t>
            </w:r>
            <w:r>
              <w:br/>
              <w:t xml:space="preserve">научных организаций </w:t>
            </w:r>
            <w:r>
              <w:br/>
              <w:t xml:space="preserve">(в редакции постановления </w:t>
            </w:r>
            <w:r>
              <w:br/>
              <w:t xml:space="preserve">Национальной академии наук </w:t>
            </w:r>
            <w:r>
              <w:br/>
              <w:t xml:space="preserve">Беларуси, Государственного </w:t>
            </w:r>
            <w:r>
              <w:br/>
              <w:t xml:space="preserve">комитета по науке и технологиям </w:t>
            </w:r>
            <w:r>
              <w:br/>
              <w:t xml:space="preserve">Республики Беларусь </w:t>
            </w:r>
            <w:r>
              <w:br/>
              <w:t xml:space="preserve">и Высшей аттестационной </w:t>
            </w:r>
            <w:r>
              <w:br/>
              <w:t>комиссии Республики Беларусь</w:t>
            </w:r>
            <w:r>
              <w:br/>
              <w:t xml:space="preserve">27.04.2022 № 3/5/1) </w:t>
            </w:r>
          </w:p>
        </w:tc>
      </w:tr>
    </w:tbl>
    <w:p w:rsidR="00327787" w:rsidRDefault="00327787">
      <w:pPr>
        <w:pStyle w:val="newncpi"/>
      </w:pPr>
      <w:r>
        <w:t> </w:t>
      </w:r>
    </w:p>
    <w:p w:rsidR="00327787" w:rsidRDefault="00327787">
      <w:pPr>
        <w:pStyle w:val="onestring"/>
      </w:pPr>
      <w:r>
        <w:t>Форма</w:t>
      </w:r>
    </w:p>
    <w:p w:rsidR="00327787" w:rsidRDefault="00327787">
      <w:pPr>
        <w:pStyle w:val="titlep"/>
      </w:pPr>
      <w:r>
        <w:t>РЕЕСТР</w:t>
      </w:r>
      <w:r>
        <w:br/>
        <w:t>научных организаций</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3"/>
        <w:gridCol w:w="1398"/>
        <w:gridCol w:w="1219"/>
        <w:gridCol w:w="1329"/>
        <w:gridCol w:w="1385"/>
        <w:gridCol w:w="1202"/>
        <w:gridCol w:w="1189"/>
        <w:gridCol w:w="1174"/>
      </w:tblGrid>
      <w:tr w:rsidR="00327787">
        <w:trPr>
          <w:trHeight w:val="240"/>
        </w:trPr>
        <w:tc>
          <w:tcPr>
            <w:tcW w:w="248" w:type="pct"/>
            <w:tcBorders>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w:t>
            </w:r>
            <w:r>
              <w:br/>
              <w:t>п/п</w:t>
            </w:r>
          </w:p>
        </w:tc>
        <w:tc>
          <w:tcPr>
            <w:tcW w:w="7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Полное и сокращенное наименование научной организации</w:t>
            </w:r>
          </w:p>
        </w:tc>
        <w:tc>
          <w:tcPr>
            <w:tcW w:w="6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Место нахождения научной организации</w:t>
            </w:r>
          </w:p>
        </w:tc>
        <w:tc>
          <w:tcPr>
            <w:tcW w:w="7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xml:space="preserve">Дата и номер заключения </w:t>
            </w:r>
            <w:proofErr w:type="spellStart"/>
            <w:proofErr w:type="gramStart"/>
            <w:r>
              <w:t>межведом</w:t>
            </w:r>
            <w:proofErr w:type="spellEnd"/>
            <w:r>
              <w:t>-</w:t>
            </w:r>
            <w:r>
              <w:br/>
            </w:r>
            <w:proofErr w:type="spellStart"/>
            <w:r>
              <w:t>ственной</w:t>
            </w:r>
            <w:proofErr w:type="spellEnd"/>
            <w:proofErr w:type="gramEnd"/>
            <w:r>
              <w:t xml:space="preserve"> комиссии по аккредитации научных организаций</w:t>
            </w:r>
          </w:p>
        </w:tc>
        <w:tc>
          <w:tcPr>
            <w:tcW w:w="7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Дата и номер свидетельства об аккредитации научной организации</w:t>
            </w:r>
          </w:p>
        </w:tc>
        <w:tc>
          <w:tcPr>
            <w:tcW w:w="6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Дата включения научной организации в реестр</w:t>
            </w:r>
          </w:p>
        </w:tc>
        <w:tc>
          <w:tcPr>
            <w:tcW w:w="6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Дата исключения научной организации из реестра</w:t>
            </w:r>
          </w:p>
        </w:tc>
        <w:tc>
          <w:tcPr>
            <w:tcW w:w="627" w:type="pct"/>
            <w:tcBorders>
              <w:left w:val="single" w:sz="4" w:space="0" w:color="auto"/>
              <w:bottom w:val="single" w:sz="4" w:space="0" w:color="auto"/>
            </w:tcBorders>
            <w:tcMar>
              <w:top w:w="0" w:type="dxa"/>
              <w:left w:w="6" w:type="dxa"/>
              <w:bottom w:w="0" w:type="dxa"/>
              <w:right w:w="6" w:type="dxa"/>
            </w:tcMar>
            <w:vAlign w:val="center"/>
            <w:hideMark/>
          </w:tcPr>
          <w:p w:rsidR="00327787" w:rsidRDefault="00327787">
            <w:pPr>
              <w:pStyle w:val="table10"/>
              <w:jc w:val="center"/>
            </w:pPr>
            <w:r>
              <w:t>Примечание</w:t>
            </w:r>
          </w:p>
        </w:tc>
      </w:tr>
      <w:tr w:rsidR="00327787">
        <w:trPr>
          <w:trHeight w:val="240"/>
        </w:trPr>
        <w:tc>
          <w:tcPr>
            <w:tcW w:w="248" w:type="pct"/>
            <w:tcBorders>
              <w:top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c>
          <w:tcPr>
            <w:tcW w:w="74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c>
          <w:tcPr>
            <w:tcW w:w="65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c>
          <w:tcPr>
            <w:tcW w:w="71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c>
          <w:tcPr>
            <w:tcW w:w="7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c>
          <w:tcPr>
            <w:tcW w:w="6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c>
          <w:tcPr>
            <w:tcW w:w="627" w:type="pct"/>
            <w:tcBorders>
              <w:top w:val="single" w:sz="4" w:space="0" w:color="auto"/>
              <w:left w:val="single" w:sz="4" w:space="0" w:color="auto"/>
            </w:tcBorders>
            <w:tcMar>
              <w:top w:w="0" w:type="dxa"/>
              <w:left w:w="6" w:type="dxa"/>
              <w:bottom w:w="0" w:type="dxa"/>
              <w:right w:w="6" w:type="dxa"/>
            </w:tcMar>
            <w:vAlign w:val="center"/>
            <w:hideMark/>
          </w:tcPr>
          <w:p w:rsidR="00327787" w:rsidRDefault="00327787">
            <w:pPr>
              <w:pStyle w:val="table10"/>
              <w:jc w:val="center"/>
            </w:pPr>
            <w:r>
              <w:t> </w:t>
            </w:r>
          </w:p>
        </w:tc>
      </w:tr>
    </w:tbl>
    <w:p w:rsidR="00327787" w:rsidRDefault="00327787">
      <w:pPr>
        <w:pStyle w:val="newncpi"/>
      </w:pPr>
      <w:r>
        <w:t> </w:t>
      </w:r>
    </w:p>
    <w:p w:rsidR="00327787" w:rsidRDefault="00327787">
      <w:pPr>
        <w:pStyle w:val="newncpi"/>
      </w:pPr>
      <w:r>
        <w:t> </w:t>
      </w:r>
    </w:p>
    <w:p w:rsidR="00E852FE" w:rsidRDefault="00B256DF"/>
    <w:sectPr w:rsidR="00E852FE" w:rsidSect="00327787">
      <w:pgSz w:w="11920" w:h="16838"/>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6DF" w:rsidRDefault="00B256DF" w:rsidP="00327787">
      <w:r>
        <w:separator/>
      </w:r>
    </w:p>
  </w:endnote>
  <w:endnote w:type="continuationSeparator" w:id="0">
    <w:p w:rsidR="00B256DF" w:rsidRDefault="00B256DF" w:rsidP="0032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87" w:rsidRDefault="003277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87" w:rsidRDefault="0032778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27787" w:rsidTr="00327787">
      <w:tc>
        <w:tcPr>
          <w:tcW w:w="1800" w:type="dxa"/>
          <w:shd w:val="clear" w:color="auto" w:fill="auto"/>
          <w:vAlign w:val="center"/>
        </w:tcPr>
        <w:p w:rsidR="00327787" w:rsidRDefault="00327787">
          <w:pPr>
            <w:pStyle w:val="a5"/>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27787" w:rsidRDefault="00327787">
          <w:pPr>
            <w:pStyle w:val="a5"/>
            <w:ind w:firstLine="0"/>
            <w:rPr>
              <w:i/>
              <w:sz w:val="24"/>
            </w:rPr>
          </w:pPr>
          <w:r>
            <w:rPr>
              <w:i/>
              <w:sz w:val="24"/>
            </w:rPr>
            <w:t>Официальная правовая информация</w:t>
          </w:r>
        </w:p>
        <w:p w:rsidR="00327787" w:rsidRDefault="00327787">
          <w:pPr>
            <w:pStyle w:val="a5"/>
            <w:ind w:firstLine="0"/>
            <w:rPr>
              <w:i/>
              <w:sz w:val="24"/>
            </w:rPr>
          </w:pPr>
          <w:r>
            <w:rPr>
              <w:i/>
              <w:sz w:val="24"/>
            </w:rPr>
            <w:t>Информационно-поисковая система "ЭТАЛОН", 02.05.2025</w:t>
          </w:r>
        </w:p>
        <w:p w:rsidR="00327787" w:rsidRPr="00327787" w:rsidRDefault="00327787">
          <w:pPr>
            <w:pStyle w:val="a5"/>
            <w:ind w:firstLine="0"/>
            <w:rPr>
              <w:i/>
              <w:sz w:val="24"/>
            </w:rPr>
          </w:pPr>
          <w:r>
            <w:rPr>
              <w:i/>
              <w:sz w:val="24"/>
            </w:rPr>
            <w:t>Национальный центр правовой информации Республики Беларусь</w:t>
          </w:r>
        </w:p>
      </w:tc>
    </w:tr>
  </w:tbl>
  <w:p w:rsidR="00327787" w:rsidRDefault="003277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6DF" w:rsidRDefault="00B256DF" w:rsidP="00327787">
      <w:r>
        <w:separator/>
      </w:r>
    </w:p>
  </w:footnote>
  <w:footnote w:type="continuationSeparator" w:id="0">
    <w:p w:rsidR="00B256DF" w:rsidRDefault="00B256DF" w:rsidP="00327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87" w:rsidRDefault="00327787" w:rsidP="003E42D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27787" w:rsidRDefault="0032778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87" w:rsidRPr="00327787" w:rsidRDefault="00327787" w:rsidP="003E42D0">
    <w:pPr>
      <w:pStyle w:val="a3"/>
      <w:framePr w:wrap="around" w:vAnchor="text" w:hAnchor="margin" w:xAlign="center" w:y="1"/>
      <w:rPr>
        <w:rStyle w:val="a7"/>
        <w:sz w:val="24"/>
      </w:rPr>
    </w:pPr>
    <w:r w:rsidRPr="00327787">
      <w:rPr>
        <w:rStyle w:val="a7"/>
        <w:sz w:val="24"/>
      </w:rPr>
      <w:fldChar w:fldCharType="begin"/>
    </w:r>
    <w:r w:rsidRPr="00327787">
      <w:rPr>
        <w:rStyle w:val="a7"/>
        <w:sz w:val="24"/>
      </w:rPr>
      <w:instrText xml:space="preserve">PAGE  </w:instrText>
    </w:r>
    <w:r w:rsidRPr="00327787">
      <w:rPr>
        <w:rStyle w:val="a7"/>
        <w:sz w:val="24"/>
      </w:rPr>
      <w:fldChar w:fldCharType="separate"/>
    </w:r>
    <w:r>
      <w:rPr>
        <w:rStyle w:val="a7"/>
        <w:noProof/>
        <w:sz w:val="24"/>
      </w:rPr>
      <w:t>12</w:t>
    </w:r>
    <w:r w:rsidRPr="00327787">
      <w:rPr>
        <w:rStyle w:val="a7"/>
        <w:sz w:val="24"/>
      </w:rPr>
      <w:fldChar w:fldCharType="end"/>
    </w:r>
  </w:p>
  <w:p w:rsidR="00327787" w:rsidRPr="00327787" w:rsidRDefault="00327787">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787" w:rsidRDefault="003277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87"/>
    <w:rsid w:val="000679B5"/>
    <w:rsid w:val="0013694E"/>
    <w:rsid w:val="00327787"/>
    <w:rsid w:val="003C6681"/>
    <w:rsid w:val="00432DBC"/>
    <w:rsid w:val="004447F3"/>
    <w:rsid w:val="0046312F"/>
    <w:rsid w:val="00AF3500"/>
    <w:rsid w:val="00B256DF"/>
    <w:rsid w:val="00E0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2474E-B035-4282-A84C-DB8E0203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27787"/>
    <w:pPr>
      <w:spacing w:before="240" w:after="240"/>
      <w:ind w:right="2268" w:firstLine="0"/>
      <w:jc w:val="left"/>
    </w:pPr>
    <w:rPr>
      <w:rFonts w:eastAsia="Times New Roman"/>
      <w:b/>
      <w:bCs/>
      <w:sz w:val="28"/>
      <w:szCs w:val="28"/>
      <w:lang w:eastAsia="ru-RU"/>
    </w:rPr>
  </w:style>
  <w:style w:type="paragraph" w:customStyle="1" w:styleId="chapter">
    <w:name w:val="chapter"/>
    <w:basedOn w:val="a"/>
    <w:rsid w:val="00327787"/>
    <w:pPr>
      <w:spacing w:before="240" w:after="240"/>
      <w:ind w:firstLine="0"/>
      <w:jc w:val="center"/>
    </w:pPr>
    <w:rPr>
      <w:rFonts w:eastAsiaTheme="minorEastAsia"/>
      <w:b/>
      <w:bCs/>
      <w:caps/>
      <w:sz w:val="24"/>
      <w:szCs w:val="24"/>
      <w:lang w:eastAsia="ru-RU"/>
    </w:rPr>
  </w:style>
  <w:style w:type="paragraph" w:customStyle="1" w:styleId="titlep">
    <w:name w:val="titlep"/>
    <w:basedOn w:val="a"/>
    <w:rsid w:val="00327787"/>
    <w:pPr>
      <w:spacing w:before="240" w:after="240"/>
      <w:ind w:firstLine="0"/>
      <w:jc w:val="center"/>
    </w:pPr>
    <w:rPr>
      <w:rFonts w:eastAsiaTheme="minorEastAsia"/>
      <w:b/>
      <w:bCs/>
      <w:sz w:val="24"/>
      <w:szCs w:val="24"/>
      <w:lang w:eastAsia="ru-RU"/>
    </w:rPr>
  </w:style>
  <w:style w:type="paragraph" w:customStyle="1" w:styleId="onestring">
    <w:name w:val="onestring"/>
    <w:basedOn w:val="a"/>
    <w:rsid w:val="00327787"/>
    <w:pPr>
      <w:ind w:firstLine="0"/>
      <w:jc w:val="right"/>
    </w:pPr>
    <w:rPr>
      <w:rFonts w:eastAsiaTheme="minorEastAsia"/>
      <w:sz w:val="22"/>
      <w:lang w:eastAsia="ru-RU"/>
    </w:rPr>
  </w:style>
  <w:style w:type="paragraph" w:customStyle="1" w:styleId="titleu">
    <w:name w:val="titleu"/>
    <w:basedOn w:val="a"/>
    <w:rsid w:val="00327787"/>
    <w:pPr>
      <w:spacing w:before="240" w:after="240"/>
      <w:ind w:firstLine="0"/>
      <w:jc w:val="left"/>
    </w:pPr>
    <w:rPr>
      <w:rFonts w:eastAsiaTheme="minorEastAsia"/>
      <w:b/>
      <w:bCs/>
      <w:sz w:val="24"/>
      <w:szCs w:val="24"/>
      <w:lang w:eastAsia="ru-RU"/>
    </w:rPr>
  </w:style>
  <w:style w:type="paragraph" w:customStyle="1" w:styleId="point">
    <w:name w:val="point"/>
    <w:basedOn w:val="a"/>
    <w:rsid w:val="00327787"/>
    <w:pPr>
      <w:ind w:firstLine="567"/>
    </w:pPr>
    <w:rPr>
      <w:rFonts w:eastAsiaTheme="minorEastAsia"/>
      <w:sz w:val="24"/>
      <w:szCs w:val="24"/>
      <w:lang w:eastAsia="ru-RU"/>
    </w:rPr>
  </w:style>
  <w:style w:type="paragraph" w:customStyle="1" w:styleId="underpoint">
    <w:name w:val="underpoint"/>
    <w:basedOn w:val="a"/>
    <w:rsid w:val="00327787"/>
    <w:pPr>
      <w:ind w:firstLine="567"/>
    </w:pPr>
    <w:rPr>
      <w:rFonts w:eastAsiaTheme="minorEastAsia"/>
      <w:sz w:val="24"/>
      <w:szCs w:val="24"/>
      <w:lang w:eastAsia="ru-RU"/>
    </w:rPr>
  </w:style>
  <w:style w:type="paragraph" w:customStyle="1" w:styleId="snoski">
    <w:name w:val="snoski"/>
    <w:basedOn w:val="a"/>
    <w:rsid w:val="00327787"/>
    <w:pPr>
      <w:ind w:firstLine="567"/>
    </w:pPr>
    <w:rPr>
      <w:rFonts w:eastAsiaTheme="minorEastAsia"/>
      <w:sz w:val="20"/>
      <w:szCs w:val="20"/>
      <w:lang w:eastAsia="ru-RU"/>
    </w:rPr>
  </w:style>
  <w:style w:type="paragraph" w:customStyle="1" w:styleId="snoskiline">
    <w:name w:val="snoskiline"/>
    <w:basedOn w:val="a"/>
    <w:rsid w:val="00327787"/>
    <w:pPr>
      <w:ind w:firstLine="0"/>
    </w:pPr>
    <w:rPr>
      <w:rFonts w:eastAsiaTheme="minorEastAsia"/>
      <w:sz w:val="20"/>
      <w:szCs w:val="20"/>
      <w:lang w:eastAsia="ru-RU"/>
    </w:rPr>
  </w:style>
  <w:style w:type="paragraph" w:customStyle="1" w:styleId="table10">
    <w:name w:val="table10"/>
    <w:basedOn w:val="a"/>
    <w:rsid w:val="00327787"/>
    <w:pPr>
      <w:ind w:firstLine="0"/>
      <w:jc w:val="left"/>
    </w:pPr>
    <w:rPr>
      <w:rFonts w:eastAsiaTheme="minorEastAsia"/>
      <w:sz w:val="20"/>
      <w:szCs w:val="20"/>
      <w:lang w:eastAsia="ru-RU"/>
    </w:rPr>
  </w:style>
  <w:style w:type="paragraph" w:customStyle="1" w:styleId="append">
    <w:name w:val="append"/>
    <w:basedOn w:val="a"/>
    <w:rsid w:val="00327787"/>
    <w:pPr>
      <w:ind w:firstLine="0"/>
      <w:jc w:val="left"/>
    </w:pPr>
    <w:rPr>
      <w:rFonts w:eastAsiaTheme="minorEastAsia"/>
      <w:sz w:val="22"/>
      <w:lang w:eastAsia="ru-RU"/>
    </w:rPr>
  </w:style>
  <w:style w:type="paragraph" w:customStyle="1" w:styleId="changeadd">
    <w:name w:val="changeadd"/>
    <w:basedOn w:val="a"/>
    <w:rsid w:val="00327787"/>
    <w:pPr>
      <w:ind w:left="1134" w:firstLine="567"/>
    </w:pPr>
    <w:rPr>
      <w:rFonts w:eastAsiaTheme="minorEastAsia"/>
      <w:sz w:val="24"/>
      <w:szCs w:val="24"/>
      <w:lang w:eastAsia="ru-RU"/>
    </w:rPr>
  </w:style>
  <w:style w:type="paragraph" w:customStyle="1" w:styleId="changei">
    <w:name w:val="changei"/>
    <w:basedOn w:val="a"/>
    <w:rsid w:val="00327787"/>
    <w:pPr>
      <w:ind w:left="1021" w:firstLine="0"/>
      <w:jc w:val="left"/>
    </w:pPr>
    <w:rPr>
      <w:rFonts w:eastAsiaTheme="minorEastAsia"/>
      <w:sz w:val="24"/>
      <w:szCs w:val="24"/>
      <w:lang w:eastAsia="ru-RU"/>
    </w:rPr>
  </w:style>
  <w:style w:type="paragraph" w:customStyle="1" w:styleId="append1">
    <w:name w:val="append1"/>
    <w:basedOn w:val="a"/>
    <w:rsid w:val="00327787"/>
    <w:pPr>
      <w:spacing w:after="28"/>
      <w:ind w:firstLine="0"/>
      <w:jc w:val="left"/>
    </w:pPr>
    <w:rPr>
      <w:rFonts w:eastAsiaTheme="minorEastAsia"/>
      <w:sz w:val="22"/>
      <w:lang w:eastAsia="ru-RU"/>
    </w:rPr>
  </w:style>
  <w:style w:type="paragraph" w:customStyle="1" w:styleId="cap1">
    <w:name w:val="cap1"/>
    <w:basedOn w:val="a"/>
    <w:rsid w:val="00327787"/>
    <w:pPr>
      <w:ind w:firstLine="0"/>
      <w:jc w:val="left"/>
    </w:pPr>
    <w:rPr>
      <w:rFonts w:eastAsiaTheme="minorEastAsia"/>
      <w:sz w:val="22"/>
      <w:lang w:eastAsia="ru-RU"/>
    </w:rPr>
  </w:style>
  <w:style w:type="paragraph" w:customStyle="1" w:styleId="capu1">
    <w:name w:val="capu1"/>
    <w:basedOn w:val="a"/>
    <w:rsid w:val="00327787"/>
    <w:pPr>
      <w:spacing w:after="120"/>
      <w:ind w:firstLine="0"/>
      <w:jc w:val="left"/>
    </w:pPr>
    <w:rPr>
      <w:rFonts w:eastAsiaTheme="minorEastAsia"/>
      <w:sz w:val="22"/>
      <w:lang w:eastAsia="ru-RU"/>
    </w:rPr>
  </w:style>
  <w:style w:type="paragraph" w:customStyle="1" w:styleId="newncpi">
    <w:name w:val="newncpi"/>
    <w:basedOn w:val="a"/>
    <w:rsid w:val="00327787"/>
    <w:pPr>
      <w:ind w:firstLine="567"/>
    </w:pPr>
    <w:rPr>
      <w:rFonts w:eastAsiaTheme="minorEastAsia"/>
      <w:sz w:val="24"/>
      <w:szCs w:val="24"/>
      <w:lang w:eastAsia="ru-RU"/>
    </w:rPr>
  </w:style>
  <w:style w:type="paragraph" w:customStyle="1" w:styleId="newncpi0">
    <w:name w:val="newncpi0"/>
    <w:basedOn w:val="a"/>
    <w:rsid w:val="00327787"/>
    <w:pPr>
      <w:ind w:firstLine="0"/>
    </w:pPr>
    <w:rPr>
      <w:rFonts w:eastAsiaTheme="minorEastAsia"/>
      <w:sz w:val="24"/>
      <w:szCs w:val="24"/>
      <w:lang w:eastAsia="ru-RU"/>
    </w:rPr>
  </w:style>
  <w:style w:type="paragraph" w:customStyle="1" w:styleId="undline">
    <w:name w:val="undline"/>
    <w:basedOn w:val="a"/>
    <w:rsid w:val="00327787"/>
    <w:pPr>
      <w:ind w:firstLine="0"/>
    </w:pPr>
    <w:rPr>
      <w:rFonts w:eastAsiaTheme="minorEastAsia"/>
      <w:sz w:val="20"/>
      <w:szCs w:val="20"/>
      <w:lang w:eastAsia="ru-RU"/>
    </w:rPr>
  </w:style>
  <w:style w:type="character" w:customStyle="1" w:styleId="name">
    <w:name w:val="name"/>
    <w:basedOn w:val="a0"/>
    <w:rsid w:val="00327787"/>
    <w:rPr>
      <w:rFonts w:ascii="Times New Roman" w:hAnsi="Times New Roman" w:cs="Times New Roman" w:hint="default"/>
      <w:caps/>
    </w:rPr>
  </w:style>
  <w:style w:type="character" w:customStyle="1" w:styleId="promulgator">
    <w:name w:val="promulgator"/>
    <w:basedOn w:val="a0"/>
    <w:rsid w:val="00327787"/>
    <w:rPr>
      <w:rFonts w:ascii="Times New Roman" w:hAnsi="Times New Roman" w:cs="Times New Roman" w:hint="default"/>
      <w:caps/>
    </w:rPr>
  </w:style>
  <w:style w:type="character" w:customStyle="1" w:styleId="datepr">
    <w:name w:val="datepr"/>
    <w:basedOn w:val="a0"/>
    <w:rsid w:val="00327787"/>
    <w:rPr>
      <w:rFonts w:ascii="Times New Roman" w:hAnsi="Times New Roman" w:cs="Times New Roman" w:hint="default"/>
    </w:rPr>
  </w:style>
  <w:style w:type="character" w:customStyle="1" w:styleId="number">
    <w:name w:val="number"/>
    <w:basedOn w:val="a0"/>
    <w:rsid w:val="00327787"/>
    <w:rPr>
      <w:rFonts w:ascii="Times New Roman" w:hAnsi="Times New Roman" w:cs="Times New Roman" w:hint="default"/>
    </w:rPr>
  </w:style>
  <w:style w:type="character" w:customStyle="1" w:styleId="post">
    <w:name w:val="post"/>
    <w:basedOn w:val="a0"/>
    <w:rsid w:val="00327787"/>
    <w:rPr>
      <w:rFonts w:ascii="Times New Roman" w:hAnsi="Times New Roman" w:cs="Times New Roman" w:hint="default"/>
      <w:b/>
      <w:bCs/>
      <w:sz w:val="22"/>
      <w:szCs w:val="22"/>
    </w:rPr>
  </w:style>
  <w:style w:type="character" w:customStyle="1" w:styleId="pers">
    <w:name w:val="pers"/>
    <w:basedOn w:val="a0"/>
    <w:rsid w:val="00327787"/>
    <w:rPr>
      <w:rFonts w:ascii="Times New Roman" w:hAnsi="Times New Roman" w:cs="Times New Roman" w:hint="default"/>
      <w:b/>
      <w:bCs/>
      <w:sz w:val="22"/>
      <w:szCs w:val="22"/>
    </w:rPr>
  </w:style>
  <w:style w:type="paragraph" w:styleId="a3">
    <w:name w:val="header"/>
    <w:basedOn w:val="a"/>
    <w:link w:val="a4"/>
    <w:uiPriority w:val="99"/>
    <w:unhideWhenUsed/>
    <w:rsid w:val="00327787"/>
    <w:pPr>
      <w:tabs>
        <w:tab w:val="center" w:pos="4677"/>
        <w:tab w:val="right" w:pos="9355"/>
      </w:tabs>
    </w:pPr>
  </w:style>
  <w:style w:type="character" w:customStyle="1" w:styleId="a4">
    <w:name w:val="Верхний колонтитул Знак"/>
    <w:basedOn w:val="a0"/>
    <w:link w:val="a3"/>
    <w:uiPriority w:val="99"/>
    <w:rsid w:val="00327787"/>
  </w:style>
  <w:style w:type="paragraph" w:styleId="a5">
    <w:name w:val="footer"/>
    <w:basedOn w:val="a"/>
    <w:link w:val="a6"/>
    <w:uiPriority w:val="99"/>
    <w:unhideWhenUsed/>
    <w:rsid w:val="00327787"/>
    <w:pPr>
      <w:tabs>
        <w:tab w:val="center" w:pos="4677"/>
        <w:tab w:val="right" w:pos="9355"/>
      </w:tabs>
    </w:pPr>
  </w:style>
  <w:style w:type="character" w:customStyle="1" w:styleId="a6">
    <w:name w:val="Нижний колонтитул Знак"/>
    <w:basedOn w:val="a0"/>
    <w:link w:val="a5"/>
    <w:uiPriority w:val="99"/>
    <w:rsid w:val="00327787"/>
  </w:style>
  <w:style w:type="character" w:styleId="a7">
    <w:name w:val="page number"/>
    <w:basedOn w:val="a0"/>
    <w:uiPriority w:val="99"/>
    <w:semiHidden/>
    <w:unhideWhenUsed/>
    <w:rsid w:val="00327787"/>
  </w:style>
  <w:style w:type="table" w:styleId="a8">
    <w:name w:val="Table Grid"/>
    <w:basedOn w:val="a1"/>
    <w:uiPriority w:val="39"/>
    <w:rsid w:val="00327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3587</Words>
  <Characters>26223</Characters>
  <Application>Microsoft Office Word</Application>
  <DocSecurity>0</DocSecurity>
  <Lines>655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2025-05-02T13:11:00Z</dcterms:created>
  <dcterms:modified xsi:type="dcterms:W3CDTF">2025-05-02T13:11:00Z</dcterms:modified>
</cp:coreProperties>
</file>